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版本号：SXWXZBDL2025-ZC-CS101220250905001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航天基地2025年度安全生产委托服务项目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SXWXZBDL2025-ZC-CS1012</w:t>
      </w:r>
      <w:r>
        <w:br/>
      </w:r>
      <w:r>
        <w:br/>
      </w:r>
      <w:r>
        <w:br/>
      </w:r>
    </w:p>
    <w:p>
      <w:pPr>
        <w:pStyle w:val="null3"/>
        <w:jc w:val="center"/>
        <w:outlineLvl w:val="2"/>
      </w:pPr>
      <w:r>
        <w:rPr>
          <w:rFonts w:ascii="仿宋_GB2312" w:hAnsi="仿宋_GB2312" w:cs="仿宋_GB2312" w:eastAsia="仿宋_GB2312"/>
          <w:sz w:val="28"/>
          <w:b/>
        </w:rPr>
        <w:t>西安国家民用航天产业基地管理委员会</w:t>
      </w:r>
    </w:p>
    <w:p>
      <w:pPr>
        <w:pStyle w:val="null3"/>
        <w:jc w:val="center"/>
        <w:outlineLvl w:val="2"/>
      </w:pPr>
      <w:r>
        <w:rPr>
          <w:rFonts w:ascii="仿宋_GB2312" w:hAnsi="仿宋_GB2312" w:cs="仿宋_GB2312" w:eastAsia="仿宋_GB2312"/>
          <w:sz w:val="28"/>
          <w:b/>
        </w:rPr>
        <w:t>陕西万兴招标代理有限公司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陕西万兴招标代理有限公司</w:t>
      </w:r>
      <w:r>
        <w:rPr>
          <w:rFonts w:ascii="仿宋_GB2312" w:hAnsi="仿宋_GB2312" w:cs="仿宋_GB2312" w:eastAsia="仿宋_GB2312"/>
        </w:rPr>
        <w:t>（以下简称“代理机构”）受</w:t>
      </w:r>
      <w:r>
        <w:rPr>
          <w:rFonts w:ascii="仿宋_GB2312" w:hAnsi="仿宋_GB2312" w:cs="仿宋_GB2312" w:eastAsia="仿宋_GB2312"/>
        </w:rPr>
        <w:t>西安国家民用航天产业基地管理委员会</w:t>
      </w:r>
      <w:r>
        <w:rPr>
          <w:rFonts w:ascii="仿宋_GB2312" w:hAnsi="仿宋_GB2312" w:cs="仿宋_GB2312" w:eastAsia="仿宋_GB2312"/>
        </w:rPr>
        <w:t>委托，拟对</w:t>
      </w:r>
      <w:r>
        <w:rPr>
          <w:rFonts w:ascii="仿宋_GB2312" w:hAnsi="仿宋_GB2312" w:cs="仿宋_GB2312" w:eastAsia="仿宋_GB2312"/>
        </w:rPr>
        <w:t>航天基地2025年度安全生产委托服务项目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SXWXZBDL2025-ZC-CS1012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航天基地2025年度安全生产委托服务项目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本项目主要采购第三方服务机构对基地内相关企业开展危化企业、工贸企业等重点行业领域隐患排查治理，安全培训，技术咨询等工作。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采购包1（航天基地2025年度安全生产委托服务项目）：属于专门面向小微企业采购。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应提供健全的财务会计制度的证明材料：提供2024年度的经审计的财务会计报告（成立时间至提交投标文件截止时间不足一年的可提供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3、纳税证明：提供磋商截止日前一年内任意一个月的纳税证明或完税证明（增值税、印花税、城市维护建设费、企业所得税等一种或多种税种），依法免税的单位提供相关证明材料；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4、社保缴纳证明：提供磋商截止日前一年内任意一个月的社保资金交纳证明，依法不需要缴纳社保资金的单位提供相关证明材料；</w:t>
      </w:r>
    </w:p>
    <w:p>
      <w:pPr>
        <w:pStyle w:val="null3"/>
      </w:pPr>
      <w:r>
        <w:rPr>
          <w:rFonts w:ascii="仿宋_GB2312" w:hAnsi="仿宋_GB2312" w:cs="仿宋_GB2312" w:eastAsia="仿宋_GB2312"/>
        </w:rPr>
        <w:t>5、三年内无重大违法记录：参加本次政府采购活动前三年内在经营活动中没有重大违法记录的书面声明；</w:t>
      </w:r>
    </w:p>
    <w:p>
      <w:pPr>
        <w:pStyle w:val="null3"/>
      </w:pPr>
      <w:r>
        <w:rPr>
          <w:rFonts w:ascii="仿宋_GB2312" w:hAnsi="仿宋_GB2312" w:cs="仿宋_GB2312" w:eastAsia="仿宋_GB2312"/>
        </w:rPr>
        <w:t>6、专业技术能力承诺：提供具有履行合同所必需的设备和专业技术能力的承诺；</w:t>
      </w:r>
    </w:p>
    <w:p>
      <w:pPr>
        <w:pStyle w:val="null3"/>
      </w:pPr>
      <w:r>
        <w:rPr>
          <w:rFonts w:ascii="仿宋_GB2312" w:hAnsi="仿宋_GB2312" w:cs="仿宋_GB2312" w:eastAsia="仿宋_GB2312"/>
        </w:rPr>
        <w:t>7、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8、法定代表人授权书：法定代表人授权书（附法定代表人、被授权人身份证复印件），法定代表人直接参加磋商，须提供法定代表人身份证明及身份证复印件；</w:t>
      </w:r>
    </w:p>
    <w:p>
      <w:pPr>
        <w:pStyle w:val="null3"/>
      </w:pPr>
      <w:r>
        <w:rPr>
          <w:rFonts w:ascii="仿宋_GB2312" w:hAnsi="仿宋_GB2312" w:cs="仿宋_GB2312" w:eastAsia="仿宋_GB2312"/>
        </w:rPr>
        <w:t>9、企业关系关联承诺书：提供企业关系关联承诺书；</w:t>
      </w:r>
    </w:p>
    <w:p>
      <w:pPr>
        <w:pStyle w:val="null3"/>
      </w:pPr>
      <w:r>
        <w:rPr>
          <w:rFonts w:ascii="仿宋_GB2312" w:hAnsi="仿宋_GB2312" w:cs="仿宋_GB2312" w:eastAsia="仿宋_GB2312"/>
        </w:rPr>
        <w:t>10、联合体：本项目不接受联合体磋商。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西安国家民用航天产业基地管理委员会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西安市长安区航天中路 369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029-85688716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陕西万兴招标代理有限公司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陕西省西安市莲湖区北关正街35号方兴大厦4-018室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张小娜、董雪、李玉萍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029-89627187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和国家发展和改革委员会办公厅颁发的《关于招标代理服务收费有关问题的通知》（发改办价格[2003]857号）的有关规定执行。2.成交单位在领取成交通知书前，须向采购代理机构一次性支付招标代理服务费。3.招标代理服务费交纳信息：户名：陕西万兴招标代理有限公司开户行：北京银行股份有限公司西安大明宫支行账号：20000034467500016437653请成交供应商按照要求将招标代理服务费汇入以上指定账户，如因自身原因发生错误，产生的不利后果均由成交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西安国家民用航天产业基地管理委员会</w:t>
      </w:r>
      <w:r>
        <w:rPr>
          <w:rFonts w:ascii="仿宋_GB2312" w:hAnsi="仿宋_GB2312" w:cs="仿宋_GB2312" w:eastAsia="仿宋_GB2312"/>
        </w:rPr>
        <w:t>和</w:t>
      </w:r>
      <w:r>
        <w:rPr>
          <w:rFonts w:ascii="仿宋_GB2312" w:hAnsi="仿宋_GB2312" w:cs="仿宋_GB2312" w:eastAsia="仿宋_GB2312"/>
        </w:rPr>
        <w:t>陕西万兴招标代理有限公司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西安国家民用航天产业基地管理委员会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陕西万兴招标代理有限公司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西安国家民用航天产业基地管理委员会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陕西万兴招标代理有限公司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联系人：李玉萍</w:t>
      </w:r>
    </w:p>
    <w:p>
      <w:pPr>
        <w:pStyle w:val="null3"/>
      </w:pPr>
      <w:r>
        <w:rPr>
          <w:rFonts w:ascii="仿宋_GB2312" w:hAnsi="仿宋_GB2312" w:cs="仿宋_GB2312" w:eastAsia="仿宋_GB2312"/>
        </w:rPr>
        <w:t>联系电话：029-89627187</w:t>
      </w:r>
    </w:p>
    <w:p>
      <w:pPr>
        <w:pStyle w:val="null3"/>
      </w:pPr>
      <w:r>
        <w:rPr>
          <w:rFonts w:ascii="仿宋_GB2312" w:hAnsi="仿宋_GB2312" w:cs="仿宋_GB2312" w:eastAsia="仿宋_GB2312"/>
        </w:rPr>
        <w:t>地址：陕西省西安市莲湖区北关正街35号方兴大厦4-018室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本项目主要采购第三方服务机构对基地内相关企业开展危化企业、工贸企业等重点行业领域隐患排查治理，安全培训，技术咨询等工作。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航天基地2025年度安全生产委托服务项目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标的名称：航天基地2025年度安全生产委托服务项目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服务方式：</w:t>
            </w:r>
            <w:r>
              <w:rPr>
                <w:rFonts w:ascii="仿宋_GB2312" w:hAnsi="仿宋_GB2312" w:cs="仿宋_GB2312" w:eastAsia="仿宋_GB2312"/>
                <w:sz w:val="24"/>
              </w:rPr>
              <w:t>按甲方需求提供安全生产技术服务，随叫随到。具体为：甲方根据需求提交工作任务联系单，乙方接到联系单后提供定制化服务。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single"/>
                <w:left w:val="single"/>
                <w:bottom w:val="single"/>
                <w:right w:val="single"/>
                <w:insideH w:val="single"/>
                <w:insideV w:val="single"/>
              </w:tblBorders>
            </w:tblPr>
            <w:tblGrid>
              <w:gridCol w:w="231"/>
              <w:gridCol w:w="289"/>
              <w:gridCol w:w="1763"/>
              <w:gridCol w:w="269"/>
            </w:tblGrid>
            <w:tr>
              <w:tc>
                <w:tcPr>
                  <w:tcW w:type="dxa" w:w="52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服务内容</w:t>
                  </w:r>
                </w:p>
              </w:tc>
              <w:tc>
                <w:tcPr>
                  <w:tcW w:type="dxa" w:w="1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基本内容</w:t>
                  </w:r>
                </w:p>
              </w:tc>
              <w:tc>
                <w:tcPr>
                  <w:tcW w:type="dxa" w:w="2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备注</w:t>
                  </w:r>
                </w:p>
              </w:tc>
            </w:tr>
            <w:tr>
              <w:tc>
                <w:tcPr>
                  <w:tcW w:type="dxa" w:w="23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2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安全检查</w:t>
                  </w:r>
                </w:p>
              </w:tc>
              <w:tc>
                <w:tcPr>
                  <w:tcW w:type="dxa" w:w="1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1.常态化专项检查：辖区内的危化和工贸类企业的常态化检查，每周不少于1次，每次1天.全年不少于87次。检查计划设置合理。</w:t>
                  </w:r>
                </w:p>
              </w:tc>
              <w:tc>
                <w:tcPr>
                  <w:tcW w:type="dxa" w:w="26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检查人员为注册安全工程师或省、市应急局专家库成员，每次2 名专家，1名技术人员，车辆一部</w:t>
                  </w:r>
                </w:p>
              </w:tc>
            </w:tr>
            <w:tr>
              <w:tc>
                <w:tcPr>
                  <w:tcW w:type="dxa" w:w="231"/>
                  <w:vMerge/>
                  <w:tcBorders>
                    <w:top w:val="single" w:color="000000" w:sz="4"/>
                    <w:left w:val="single" w:color="000000" w:sz="4"/>
                    <w:bottom w:val="single" w:color="000000" w:sz="4"/>
                    <w:right w:val="single" w:color="000000" w:sz="4"/>
                  </w:tcBorders>
                </w:tcPr>
                <w:p/>
              </w:tc>
              <w:tc>
                <w:tcPr>
                  <w:tcW w:type="dxa" w:w="289"/>
                  <w:vMerge/>
                  <w:tcBorders>
                    <w:top w:val="single" w:color="000000" w:sz="4"/>
                    <w:left w:val="single" w:color="000000" w:sz="4"/>
                    <w:bottom w:val="single" w:color="000000" w:sz="4"/>
                    <w:right w:val="single" w:color="000000" w:sz="4"/>
                  </w:tcBorders>
                </w:tcPr>
                <w:p/>
              </w:tc>
              <w:tc>
                <w:tcPr>
                  <w:tcW w:type="dxa" w:w="1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2.专项检查月度抽查：人员密集区、消防领域、建筑施工领域（含拆迁工地和建筑工地）、学校等领域以抽查为主，每月不少于1 次，每次1天。全年不少于12次。检查计划设置合理。</w:t>
                  </w:r>
                </w:p>
              </w:tc>
              <w:tc>
                <w:tcPr>
                  <w:tcW w:type="dxa" w:w="269"/>
                  <w:vMerge/>
                  <w:tcBorders>
                    <w:top w:val="single" w:color="000000" w:sz="4"/>
                    <w:left w:val="single" w:color="000000" w:sz="4"/>
                    <w:bottom w:val="single" w:color="000000" w:sz="4"/>
                    <w:right w:val="single" w:color="000000" w:sz="4"/>
                  </w:tcBorders>
                </w:tcPr>
                <w:p/>
              </w:tc>
            </w:tr>
            <w:tr>
              <w:tc>
                <w:tcPr>
                  <w:tcW w:type="dxa" w:w="231"/>
                  <w:vMerge/>
                  <w:tcBorders>
                    <w:top w:val="single" w:color="000000" w:sz="4"/>
                    <w:left w:val="single" w:color="000000" w:sz="4"/>
                    <w:bottom w:val="single" w:color="000000" w:sz="4"/>
                    <w:right w:val="single" w:color="000000" w:sz="4"/>
                  </w:tcBorders>
                </w:tcPr>
                <w:p/>
              </w:tc>
              <w:tc>
                <w:tcPr>
                  <w:tcW w:type="dxa" w:w="289"/>
                  <w:vMerge/>
                  <w:tcBorders>
                    <w:top w:val="single" w:color="000000" w:sz="4"/>
                    <w:left w:val="single" w:color="000000" w:sz="4"/>
                    <w:bottom w:val="single" w:color="000000" w:sz="4"/>
                    <w:right w:val="single" w:color="000000" w:sz="4"/>
                  </w:tcBorders>
                </w:tcPr>
                <w:p/>
              </w:tc>
              <w:tc>
                <w:tcPr>
                  <w:tcW w:type="dxa" w:w="1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3.重大会议期间综合安全检查：重点行业领域，人员密集场所，建筑施工现场等在会议期间确保每天1次，全年不少于10次（三中全会、两会等）</w:t>
                  </w:r>
                </w:p>
              </w:tc>
              <w:tc>
                <w:tcPr>
                  <w:tcW w:type="dxa" w:w="269"/>
                  <w:vMerge/>
                  <w:tcBorders>
                    <w:top w:val="single" w:color="000000" w:sz="4"/>
                    <w:left w:val="single" w:color="000000" w:sz="4"/>
                    <w:bottom w:val="single" w:color="000000" w:sz="4"/>
                    <w:right w:val="single" w:color="000000" w:sz="4"/>
                  </w:tcBorders>
                </w:tcPr>
                <w:p/>
              </w:tc>
            </w:tr>
            <w:tr>
              <w:tc>
                <w:tcPr>
                  <w:tcW w:type="dxa" w:w="231"/>
                  <w:vMerge/>
                  <w:tcBorders>
                    <w:top w:val="single" w:color="000000" w:sz="4"/>
                    <w:left w:val="single" w:color="000000" w:sz="4"/>
                    <w:bottom w:val="single" w:color="000000" w:sz="4"/>
                    <w:right w:val="single" w:color="000000" w:sz="4"/>
                  </w:tcBorders>
                </w:tcPr>
                <w:p/>
              </w:tc>
              <w:tc>
                <w:tcPr>
                  <w:tcW w:type="dxa" w:w="289"/>
                  <w:vMerge/>
                  <w:tcBorders>
                    <w:top w:val="single" w:color="000000" w:sz="4"/>
                    <w:left w:val="single" w:color="000000" w:sz="4"/>
                    <w:bottom w:val="single" w:color="000000" w:sz="4"/>
                    <w:right w:val="single" w:color="000000" w:sz="4"/>
                  </w:tcBorders>
                </w:tcPr>
                <w:p/>
              </w:tc>
              <w:tc>
                <w:tcPr>
                  <w:tcW w:type="dxa" w:w="1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4. 节假日安全检查：春节，端午，五一，中秋，十一等节假日随同管委会领导检查企业的值班安排、停工停产的安全措施等。年度不少于5次，每次1天。提前报批并合理化检查计划。</w:t>
                  </w:r>
                </w:p>
              </w:tc>
              <w:tc>
                <w:tcPr>
                  <w:tcW w:type="dxa" w:w="269"/>
                  <w:vMerge/>
                  <w:tcBorders>
                    <w:top w:val="single" w:color="000000" w:sz="4"/>
                    <w:left w:val="single" w:color="000000" w:sz="4"/>
                    <w:bottom w:val="single" w:color="000000" w:sz="4"/>
                    <w:right w:val="single" w:color="000000" w:sz="4"/>
                  </w:tcBorders>
                </w:tcPr>
                <w:p/>
              </w:tc>
            </w:tr>
            <w:tr>
              <w:tc>
                <w:tcPr>
                  <w:tcW w:type="dxa" w:w="23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2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安全培训</w:t>
                  </w:r>
                </w:p>
              </w:tc>
              <w:tc>
                <w:tcPr>
                  <w:tcW w:type="dxa" w:w="1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1.领导责任培训：航天管委会中层以上领导。年度共1次，每次2.5小时。合理安排计划</w:t>
                  </w:r>
                </w:p>
              </w:tc>
              <w:tc>
                <w:tcPr>
                  <w:tcW w:type="dxa" w:w="26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每次培训的培训老师为市级、省级安全生产或应急领域专家1名，技术人员1名。单次培训时长：2.5小时。提供会议记录，培训资料等。</w:t>
                  </w:r>
                </w:p>
              </w:tc>
            </w:tr>
            <w:tr>
              <w:tc>
                <w:tcPr>
                  <w:tcW w:type="dxa" w:w="231"/>
                  <w:vMerge/>
                  <w:tcBorders>
                    <w:top w:val="single" w:color="000000" w:sz="4"/>
                    <w:left w:val="single" w:color="000000" w:sz="4"/>
                    <w:bottom w:val="single" w:color="000000" w:sz="4"/>
                    <w:right w:val="single" w:color="000000" w:sz="4"/>
                  </w:tcBorders>
                </w:tcPr>
                <w:p/>
              </w:tc>
              <w:tc>
                <w:tcPr>
                  <w:tcW w:type="dxa" w:w="289"/>
                  <w:vMerge/>
                  <w:tcBorders>
                    <w:top w:val="single" w:color="000000" w:sz="4"/>
                    <w:left w:val="single" w:color="000000" w:sz="4"/>
                    <w:bottom w:val="single" w:color="000000" w:sz="4"/>
                    <w:right w:val="single" w:color="000000" w:sz="4"/>
                  </w:tcBorders>
                </w:tcPr>
                <w:p/>
              </w:tc>
              <w:tc>
                <w:tcPr>
                  <w:tcW w:type="dxa" w:w="1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2.监管责任培训：航天管委会各监管部门。年度共1次，每次2.5小时。合理安排计划</w:t>
                  </w:r>
                </w:p>
              </w:tc>
              <w:tc>
                <w:tcPr>
                  <w:tcW w:type="dxa" w:w="269"/>
                  <w:vMerge/>
                  <w:tcBorders>
                    <w:top w:val="single" w:color="000000" w:sz="4"/>
                    <w:left w:val="single" w:color="000000" w:sz="4"/>
                    <w:bottom w:val="single" w:color="000000" w:sz="4"/>
                    <w:right w:val="single" w:color="000000" w:sz="4"/>
                  </w:tcBorders>
                </w:tcPr>
                <w:p/>
              </w:tc>
            </w:tr>
            <w:tr>
              <w:tc>
                <w:tcPr>
                  <w:tcW w:type="dxa" w:w="231"/>
                  <w:vMerge/>
                  <w:tcBorders>
                    <w:top w:val="single" w:color="000000" w:sz="4"/>
                    <w:left w:val="single" w:color="000000" w:sz="4"/>
                    <w:bottom w:val="single" w:color="000000" w:sz="4"/>
                    <w:right w:val="single" w:color="000000" w:sz="4"/>
                  </w:tcBorders>
                </w:tcPr>
                <w:p/>
              </w:tc>
              <w:tc>
                <w:tcPr>
                  <w:tcW w:type="dxa" w:w="289"/>
                  <w:vMerge/>
                  <w:tcBorders>
                    <w:top w:val="single" w:color="000000" w:sz="4"/>
                    <w:left w:val="single" w:color="000000" w:sz="4"/>
                    <w:bottom w:val="single" w:color="000000" w:sz="4"/>
                    <w:right w:val="single" w:color="000000" w:sz="4"/>
                  </w:tcBorders>
                </w:tcPr>
                <w:p/>
              </w:tc>
              <w:tc>
                <w:tcPr>
                  <w:tcW w:type="dxa" w:w="1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3.安全生产月培训：每年6 月份进行一次。年度共 1 次，每次 2.5 小时。合理安排计划</w:t>
                  </w:r>
                </w:p>
              </w:tc>
              <w:tc>
                <w:tcPr>
                  <w:tcW w:type="dxa" w:w="269"/>
                  <w:vMerge/>
                  <w:tcBorders>
                    <w:top w:val="single" w:color="000000" w:sz="4"/>
                    <w:left w:val="single" w:color="000000" w:sz="4"/>
                    <w:bottom w:val="single" w:color="000000" w:sz="4"/>
                    <w:right w:val="single" w:color="000000" w:sz="4"/>
                  </w:tcBorders>
                </w:tcPr>
                <w:p/>
              </w:tc>
            </w:tr>
            <w:tr>
              <w:tc>
                <w:tcPr>
                  <w:tcW w:type="dxa" w:w="231"/>
                  <w:vMerge/>
                  <w:tcBorders>
                    <w:top w:val="single" w:color="000000" w:sz="4"/>
                    <w:left w:val="single" w:color="000000" w:sz="4"/>
                    <w:bottom w:val="single" w:color="000000" w:sz="4"/>
                    <w:right w:val="single" w:color="000000" w:sz="4"/>
                  </w:tcBorders>
                </w:tcPr>
                <w:p/>
              </w:tc>
              <w:tc>
                <w:tcPr>
                  <w:tcW w:type="dxa" w:w="289"/>
                  <w:vMerge/>
                  <w:tcBorders>
                    <w:top w:val="single" w:color="000000" w:sz="4"/>
                    <w:left w:val="single" w:color="000000" w:sz="4"/>
                    <w:bottom w:val="single" w:color="000000" w:sz="4"/>
                    <w:right w:val="single" w:color="000000" w:sz="4"/>
                  </w:tcBorders>
                </w:tcPr>
                <w:p/>
              </w:tc>
              <w:tc>
                <w:tcPr>
                  <w:tcW w:type="dxa" w:w="1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4.管理责任培训：危化和商贸类企业，每季度一次，每次 2.5 小时。年度不低于4次。合理安排计划</w:t>
                  </w:r>
                </w:p>
              </w:tc>
              <w:tc>
                <w:tcPr>
                  <w:tcW w:type="dxa" w:w="269"/>
                  <w:vMerge/>
                  <w:tcBorders>
                    <w:top w:val="single" w:color="000000" w:sz="4"/>
                    <w:left w:val="single" w:color="000000" w:sz="4"/>
                    <w:bottom w:val="single" w:color="000000" w:sz="4"/>
                    <w:right w:val="single" w:color="000000" w:sz="4"/>
                  </w:tcBorders>
                </w:tcPr>
                <w:p/>
              </w:tc>
            </w:tr>
            <w:tr>
              <w:tc>
                <w:tcPr>
                  <w:tcW w:type="dxa" w:w="231"/>
                  <w:vMerge/>
                  <w:tcBorders>
                    <w:top w:val="single" w:color="000000" w:sz="4"/>
                    <w:left w:val="single" w:color="000000" w:sz="4"/>
                    <w:bottom w:val="single" w:color="000000" w:sz="4"/>
                    <w:right w:val="single" w:color="000000" w:sz="4"/>
                  </w:tcBorders>
                </w:tcPr>
                <w:p/>
              </w:tc>
              <w:tc>
                <w:tcPr>
                  <w:tcW w:type="dxa" w:w="289"/>
                  <w:vMerge/>
                  <w:tcBorders>
                    <w:top w:val="single" w:color="000000" w:sz="4"/>
                    <w:left w:val="single" w:color="000000" w:sz="4"/>
                    <w:bottom w:val="single" w:color="000000" w:sz="4"/>
                    <w:right w:val="single" w:color="000000" w:sz="4"/>
                  </w:tcBorders>
                </w:tcPr>
                <w:p/>
              </w:tc>
              <w:tc>
                <w:tcPr>
                  <w:tcW w:type="dxa" w:w="1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5.管理责任培训：工业企业，半年进行一次，每次2.5小时，年度共2次。合理安排计划。</w:t>
                  </w:r>
                </w:p>
              </w:tc>
              <w:tc>
                <w:tcPr>
                  <w:tcW w:type="dxa" w:w="269"/>
                  <w:vMerge/>
                  <w:tcBorders>
                    <w:top w:val="single" w:color="000000" w:sz="4"/>
                    <w:left w:val="single" w:color="000000" w:sz="4"/>
                    <w:bottom w:val="single" w:color="000000" w:sz="4"/>
                    <w:right w:val="single" w:color="000000" w:sz="4"/>
                  </w:tcBorders>
                </w:tcPr>
                <w:p/>
              </w:tc>
            </w:tr>
            <w:tr>
              <w:tc>
                <w:tcPr>
                  <w:tcW w:type="dxa" w:w="231"/>
                  <w:vMerge/>
                  <w:tcBorders>
                    <w:top w:val="single" w:color="000000" w:sz="4"/>
                    <w:left w:val="single" w:color="000000" w:sz="4"/>
                    <w:bottom w:val="single" w:color="000000" w:sz="4"/>
                    <w:right w:val="single" w:color="000000" w:sz="4"/>
                  </w:tcBorders>
                </w:tcPr>
                <w:p/>
              </w:tc>
              <w:tc>
                <w:tcPr>
                  <w:tcW w:type="dxa" w:w="289"/>
                  <w:vMerge/>
                  <w:tcBorders>
                    <w:top w:val="single" w:color="000000" w:sz="4"/>
                    <w:left w:val="single" w:color="000000" w:sz="4"/>
                    <w:bottom w:val="single" w:color="000000" w:sz="4"/>
                    <w:right w:val="single" w:color="000000" w:sz="4"/>
                  </w:tcBorders>
                </w:tcPr>
                <w:p/>
              </w:tc>
              <w:tc>
                <w:tcPr>
                  <w:tcW w:type="dxa" w:w="1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6.管理责任培训：建筑施工领域，年度共1次，每次2.5小时。合理安排计划</w:t>
                  </w:r>
                </w:p>
              </w:tc>
              <w:tc>
                <w:tcPr>
                  <w:tcW w:type="dxa" w:w="269"/>
                  <w:vMerge/>
                  <w:tcBorders>
                    <w:top w:val="single" w:color="000000" w:sz="4"/>
                    <w:left w:val="single" w:color="000000" w:sz="4"/>
                    <w:bottom w:val="single" w:color="000000" w:sz="4"/>
                    <w:right w:val="single" w:color="000000" w:sz="4"/>
                  </w:tcBorders>
                </w:tcPr>
                <w:p/>
              </w:tc>
            </w:tr>
            <w:tr>
              <w:tc>
                <w:tcPr>
                  <w:tcW w:type="dxa" w:w="231"/>
                  <w:vMerge/>
                  <w:tcBorders>
                    <w:top w:val="single" w:color="000000" w:sz="4"/>
                    <w:left w:val="single" w:color="000000" w:sz="4"/>
                    <w:bottom w:val="single" w:color="000000" w:sz="4"/>
                    <w:right w:val="single" w:color="000000" w:sz="4"/>
                  </w:tcBorders>
                </w:tcPr>
                <w:p/>
              </w:tc>
              <w:tc>
                <w:tcPr>
                  <w:tcW w:type="dxa" w:w="289"/>
                  <w:vMerge/>
                  <w:tcBorders>
                    <w:top w:val="single" w:color="000000" w:sz="4"/>
                    <w:left w:val="single" w:color="000000" w:sz="4"/>
                    <w:bottom w:val="single" w:color="000000" w:sz="4"/>
                    <w:right w:val="single" w:color="000000" w:sz="4"/>
                  </w:tcBorders>
                </w:tcPr>
                <w:p/>
              </w:tc>
              <w:tc>
                <w:tcPr>
                  <w:tcW w:type="dxa" w:w="1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7.管理责任培训：人员密集场所，年度共 1 次，每次2.5小时。合理安排计划</w:t>
                  </w:r>
                </w:p>
              </w:tc>
              <w:tc>
                <w:tcPr>
                  <w:tcW w:type="dxa" w:w="269"/>
                  <w:vMerge/>
                  <w:tcBorders>
                    <w:top w:val="single" w:color="000000" w:sz="4"/>
                    <w:left w:val="single" w:color="000000" w:sz="4"/>
                    <w:bottom w:val="single" w:color="000000" w:sz="4"/>
                    <w:right w:val="single" w:color="000000" w:sz="4"/>
                  </w:tcBorders>
                </w:tcPr>
                <w:p/>
              </w:tc>
            </w:tr>
            <w:tr>
              <w:tc>
                <w:tcPr>
                  <w:tcW w:type="dxa" w:w="231"/>
                  <w:vMerge/>
                  <w:tcBorders>
                    <w:top w:val="single" w:color="000000" w:sz="4"/>
                    <w:left w:val="single" w:color="000000" w:sz="4"/>
                    <w:bottom w:val="single" w:color="000000" w:sz="4"/>
                    <w:right w:val="single" w:color="000000" w:sz="4"/>
                  </w:tcBorders>
                </w:tcPr>
                <w:p/>
              </w:tc>
              <w:tc>
                <w:tcPr>
                  <w:tcW w:type="dxa" w:w="289"/>
                  <w:vMerge/>
                  <w:tcBorders>
                    <w:top w:val="single" w:color="000000" w:sz="4"/>
                    <w:left w:val="single" w:color="000000" w:sz="4"/>
                    <w:bottom w:val="single" w:color="000000" w:sz="4"/>
                    <w:right w:val="single" w:color="000000" w:sz="4"/>
                  </w:tcBorders>
                </w:tcPr>
                <w:p/>
              </w:tc>
              <w:tc>
                <w:tcPr>
                  <w:tcW w:type="dxa" w:w="1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8.复工复产培训：年初安排，共1次，每次2.5小时。</w:t>
                  </w:r>
                </w:p>
              </w:tc>
              <w:tc>
                <w:tcPr>
                  <w:tcW w:type="dxa" w:w="269"/>
                  <w:vMerge/>
                  <w:tcBorders>
                    <w:top w:val="single" w:color="000000" w:sz="4"/>
                    <w:left w:val="single" w:color="000000" w:sz="4"/>
                    <w:bottom w:val="single" w:color="000000" w:sz="4"/>
                    <w:right w:val="single" w:color="000000" w:sz="4"/>
                  </w:tcBorders>
                </w:tcPr>
                <w:p/>
              </w:tc>
            </w:tr>
            <w:tr>
              <w:tc>
                <w:tcPr>
                  <w:tcW w:type="dxa" w:w="231"/>
                  <w:vMerge/>
                  <w:tcBorders>
                    <w:top w:val="single" w:color="000000" w:sz="4"/>
                    <w:left w:val="single" w:color="000000" w:sz="4"/>
                    <w:bottom w:val="single" w:color="000000" w:sz="4"/>
                    <w:right w:val="single" w:color="000000" w:sz="4"/>
                  </w:tcBorders>
                </w:tcPr>
                <w:p/>
              </w:tc>
              <w:tc>
                <w:tcPr>
                  <w:tcW w:type="dxa" w:w="289"/>
                  <w:vMerge/>
                  <w:tcBorders>
                    <w:top w:val="single" w:color="000000" w:sz="4"/>
                    <w:left w:val="single" w:color="000000" w:sz="4"/>
                    <w:bottom w:val="single" w:color="000000" w:sz="4"/>
                    <w:right w:val="single" w:color="000000" w:sz="4"/>
                  </w:tcBorders>
                </w:tcPr>
                <w:p/>
              </w:tc>
              <w:tc>
                <w:tcPr>
                  <w:tcW w:type="dxa" w:w="1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9.应急局执法人员培训：年度共1次，每次2.5小时。合理安排计划</w:t>
                  </w:r>
                </w:p>
              </w:tc>
              <w:tc>
                <w:tcPr>
                  <w:tcW w:type="dxa" w:w="269"/>
                  <w:vMerge/>
                  <w:tcBorders>
                    <w:top w:val="single" w:color="000000" w:sz="4"/>
                    <w:left w:val="single" w:color="000000" w:sz="4"/>
                    <w:bottom w:val="single" w:color="000000" w:sz="4"/>
                    <w:right w:val="single" w:color="000000" w:sz="4"/>
                  </w:tcBorders>
                </w:tcPr>
                <w:p/>
              </w:tc>
            </w:tr>
            <w:tr>
              <w:tc>
                <w:tcPr>
                  <w:tcW w:type="dxa" w:w="231"/>
                  <w:vMerge/>
                  <w:tcBorders>
                    <w:top w:val="single" w:color="000000" w:sz="4"/>
                    <w:left w:val="single" w:color="000000" w:sz="4"/>
                    <w:bottom w:val="single" w:color="000000" w:sz="4"/>
                    <w:right w:val="single" w:color="000000" w:sz="4"/>
                  </w:tcBorders>
                </w:tcPr>
                <w:p/>
              </w:tc>
              <w:tc>
                <w:tcPr>
                  <w:tcW w:type="dxa" w:w="289"/>
                  <w:vMerge/>
                  <w:tcBorders>
                    <w:top w:val="single" w:color="000000" w:sz="4"/>
                    <w:left w:val="single" w:color="000000" w:sz="4"/>
                    <w:bottom w:val="single" w:color="000000" w:sz="4"/>
                    <w:right w:val="single" w:color="000000" w:sz="4"/>
                  </w:tcBorders>
                </w:tcPr>
                <w:p/>
              </w:tc>
              <w:tc>
                <w:tcPr>
                  <w:tcW w:type="dxa" w:w="1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10.应急队伍培训：企业兼职救援队和民间专业救援队，年度共1次，每次2.5小时。合理安排计划</w:t>
                  </w:r>
                </w:p>
              </w:tc>
              <w:tc>
                <w:tcPr>
                  <w:tcW w:type="dxa" w:w="269"/>
                  <w:vMerge/>
                  <w:tcBorders>
                    <w:top w:val="single" w:color="000000" w:sz="4"/>
                    <w:left w:val="single" w:color="000000" w:sz="4"/>
                    <w:bottom w:val="single" w:color="000000" w:sz="4"/>
                    <w:right w:val="single" w:color="000000" w:sz="4"/>
                  </w:tcBorders>
                </w:tcPr>
                <w:p/>
              </w:tc>
            </w:tr>
            <w:tr>
              <w:tc>
                <w:tcPr>
                  <w:tcW w:type="dxa" w:w="23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2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技术支持与咨询</w:t>
                  </w:r>
                </w:p>
              </w:tc>
              <w:tc>
                <w:tcPr>
                  <w:tcW w:type="dxa" w:w="1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1.为事故调查提供技术及法律服务，并出具事故现场勘察报告。</w:t>
                  </w:r>
                  <w:r>
                    <w:br/>
                  </w:r>
                  <w:r>
                    <w:rPr>
                      <w:rFonts w:ascii="仿宋_GB2312" w:hAnsi="仿宋_GB2312" w:cs="仿宋_GB2312" w:eastAsia="仿宋_GB2312"/>
                      <w:sz w:val="24"/>
                      <w:color w:val="000000"/>
                    </w:rPr>
                    <w:t xml:space="preserve"> 具体包含：现场情况调查与记录；证据收集与保全；技术分析与鉴定；撰写查勘报告；事故调查报告审核；协助应急处置与后续工作。</w:t>
                  </w:r>
                </w:p>
              </w:tc>
              <w:tc>
                <w:tcPr>
                  <w:tcW w:type="dxa" w:w="2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专家团队（3名专家、1名技术人员）单次事故服务时长不少于5 天</w:t>
                  </w:r>
                </w:p>
              </w:tc>
            </w:tr>
            <w:tr>
              <w:tc>
                <w:tcPr>
                  <w:tcW w:type="dxa" w:w="231"/>
                  <w:vMerge/>
                  <w:tcBorders>
                    <w:top w:val="single" w:color="000000" w:sz="4"/>
                    <w:left w:val="single" w:color="000000" w:sz="4"/>
                    <w:bottom w:val="single" w:color="000000" w:sz="4"/>
                    <w:right w:val="single" w:color="000000" w:sz="4"/>
                  </w:tcBorders>
                </w:tcPr>
                <w:p/>
              </w:tc>
              <w:tc>
                <w:tcPr>
                  <w:tcW w:type="dxa" w:w="289"/>
                  <w:vMerge/>
                  <w:tcBorders>
                    <w:top w:val="single" w:color="000000" w:sz="4"/>
                    <w:left w:val="single" w:color="000000" w:sz="4"/>
                    <w:bottom w:val="single" w:color="000000" w:sz="4"/>
                    <w:right w:val="single" w:color="000000" w:sz="4"/>
                  </w:tcBorders>
                </w:tcPr>
                <w:p/>
              </w:tc>
              <w:tc>
                <w:tcPr>
                  <w:tcW w:type="dxa" w:w="1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2.为举报投诉调查提供技术及法律服务，并提交处理建议。</w:t>
                  </w:r>
                </w:p>
              </w:tc>
              <w:tc>
                <w:tcPr>
                  <w:tcW w:type="dxa" w:w="2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专家团队</w:t>
                  </w:r>
                </w:p>
              </w:tc>
            </w:tr>
            <w:tr>
              <w:tc>
                <w:tcPr>
                  <w:tcW w:type="dxa" w:w="231"/>
                  <w:vMerge/>
                  <w:tcBorders>
                    <w:top w:val="single" w:color="000000" w:sz="4"/>
                    <w:left w:val="single" w:color="000000" w:sz="4"/>
                    <w:bottom w:val="single" w:color="000000" w:sz="4"/>
                    <w:right w:val="single" w:color="000000" w:sz="4"/>
                  </w:tcBorders>
                </w:tcPr>
                <w:p/>
              </w:tc>
              <w:tc>
                <w:tcPr>
                  <w:tcW w:type="dxa" w:w="289"/>
                  <w:vMerge/>
                  <w:tcBorders>
                    <w:top w:val="single" w:color="000000" w:sz="4"/>
                    <w:left w:val="single" w:color="000000" w:sz="4"/>
                    <w:bottom w:val="single" w:color="000000" w:sz="4"/>
                    <w:right w:val="single" w:color="000000" w:sz="4"/>
                  </w:tcBorders>
                </w:tcPr>
                <w:p/>
              </w:tc>
              <w:tc>
                <w:tcPr>
                  <w:tcW w:type="dxa" w:w="1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3.应急队伍拉练：在国家安全生产应急救援培训演练基地进行为期三天的拉练培训。期间提供住宿，教室，场地，车辆，教材，设备，餐食等。（100人次）</w:t>
                  </w:r>
                </w:p>
              </w:tc>
              <w:tc>
                <w:tcPr>
                  <w:tcW w:type="dxa" w:w="2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专家团队和教练团队</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b/>
              </w:rPr>
              <w:t>服务人员其他要求：</w:t>
            </w:r>
          </w:p>
          <w:p>
            <w:pPr>
              <w:pStyle w:val="null3"/>
            </w:pPr>
            <w:r>
              <w:rPr>
                <w:rFonts w:ascii="仿宋_GB2312" w:hAnsi="仿宋_GB2312" w:cs="仿宋_GB2312" w:eastAsia="仿宋_GB2312"/>
                <w:sz w:val="24"/>
              </w:rPr>
              <w:t>依照委托单位工作方案，委派人员密切配合委托单位要求，服务人员主要工作内容：</w:t>
            </w:r>
          </w:p>
          <w:p>
            <w:pPr>
              <w:pStyle w:val="null3"/>
            </w:pPr>
            <w:r>
              <w:rPr>
                <w:rFonts w:ascii="仿宋_GB2312" w:hAnsi="仿宋_GB2312" w:cs="仿宋_GB2312" w:eastAsia="仿宋_GB2312"/>
                <w:sz w:val="24"/>
              </w:rPr>
              <w:t>1.服务人员密切配合采购人的要求，衔接委托单位和服务单位之间的各项服务工作，配合委托单位做好服务项目准备工作；</w:t>
            </w:r>
          </w:p>
          <w:p>
            <w:pPr>
              <w:pStyle w:val="null3"/>
            </w:pPr>
            <w:r>
              <w:rPr>
                <w:rFonts w:ascii="仿宋_GB2312" w:hAnsi="仿宋_GB2312" w:cs="仿宋_GB2312" w:eastAsia="仿宋_GB2312"/>
                <w:sz w:val="24"/>
              </w:rPr>
              <w:t>2.助委托单位开展各类日常工作，主要工作内容以委托单位安排为准；</w:t>
            </w:r>
          </w:p>
          <w:p>
            <w:pPr>
              <w:pStyle w:val="null3"/>
            </w:pPr>
            <w:r>
              <w:rPr>
                <w:rFonts w:ascii="仿宋_GB2312" w:hAnsi="仿宋_GB2312" w:cs="仿宋_GB2312" w:eastAsia="仿宋_GB2312"/>
                <w:sz w:val="24"/>
              </w:rPr>
              <w:t>3.委托单位交办的其他工作；</w:t>
            </w:r>
          </w:p>
          <w:p>
            <w:pPr>
              <w:pStyle w:val="null3"/>
            </w:pPr>
            <w:r>
              <w:rPr>
                <w:rFonts w:ascii="仿宋_GB2312" w:hAnsi="仿宋_GB2312" w:cs="仿宋_GB2312" w:eastAsia="仿宋_GB2312"/>
                <w:sz w:val="24"/>
              </w:rPr>
              <w:t>4.工作标准：按照相关法规、规范执行。</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服务人员单位主要工作内容：负责衔接委托单位和服务单位之间的各项服务工作，配合委托单位做好服务项目准备工作；按照委托单位要求，参与委托单位各领域的配合工作;采购人交办的其他工作。</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b/>
              </w:rPr>
              <w:t>质量保证：</w:t>
            </w:r>
            <w:r>
              <w:rPr>
                <w:rFonts w:ascii="仿宋_GB2312" w:hAnsi="仿宋_GB2312" w:cs="仿宋_GB2312" w:eastAsia="仿宋_GB2312"/>
                <w:sz w:val="24"/>
              </w:rPr>
              <w:t>供应商向采购人提供的服务内容、服务过程、工作成果必须满足采购人要求，满足国家和省市的有关标准规范和要求。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项目结束后甲方收到乙方开具的增值税发票后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1.本项目专门面向小微企业采购，供应商应为小微企业或监狱企业或残疾人福利性单位。 2.本项目属性为服务。 3.本项目合同包1采购标的所属行业为：其他未列明行业； 4.本项目是否属于信用担保试点范围：否。 5.根据陕西省财政厅关于启用会计师事务所审计报告“二维码”赋码查验功能的通知（陕财办会函〔2022〕55号），供应商提交的2024年度经审计的完整财务审计报告中，需附带具备查验功能的二维码。 6.磋商时供应商无需提交纸质响应文件，结果公告发布后由成交供应商在领取成交通知书时提供纸质响应文件两套用于备案。采用电子化评审系统的采购项目，其纸质响应文件应从政府采购项目响应文件制作软件中导出，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法定代表人授权书（附法定代表人、被授权人身份证复印件），法定代表人直接参加磋商，须提供法定代表人身份证明及身份证复印件；3.提供磋商截止日前一年内任意一个月的纳税证明或完税证明（增值税、印花税、城市维护建设费、企业所得税等一种或多种税种），依法免税的单位提供相关证明材料；4.提供磋商截止日前一年内任意一个月的社保资金交纳证明，依法不需要缴纳社保资金的单位提供相关证明材料；5.参加本次政府采购活动前三年内在经营活动中没有重大违法记录的书面声明；6.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7.提供具有履行合同所必需的设备和专业技术能力的承诺。</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的经审计的财务会计报告（成立时间至提交投标文件截止时间不足一年的可提供成立后任意时段的资产负债表），或其基本存款账户开户银行出具的资信证明及基本存款账户开户许可证（基本账户信息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供应商需在项目电子化交易系统中按要求填写《企业关系关联承诺书》完成承诺并进行电子签章。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的经审计的财务会计报告（成立时间至提交投标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提供磋商截止日前一年内任意一个月的纳税证明或完税证明（增值税、印花税、城市维护建设费、企业所得税等一种或多种税种），依法免税的单位提供相关证明材料；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提供磋商截止日前一年内任意一个月的社保资金交纳证明，依法不需要缴纳社保资金的单位提供相关证明材料；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三年内无重大违法记录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企业关系关联承诺书</w:t>
            </w:r>
          </w:p>
        </w:tc>
        <w:tc>
          <w:tcPr>
            <w:tcW w:type="dxa" w:w="3322"/>
          </w:tcPr>
          <w:p>
            <w:pPr>
              <w:pStyle w:val="null3"/>
            </w:pPr>
            <w:r>
              <w:rPr>
                <w:rFonts w:ascii="仿宋_GB2312" w:hAnsi="仿宋_GB2312" w:cs="仿宋_GB2312" w:eastAsia="仿宋_GB2312"/>
              </w:rPr>
              <w:t>提供企业关系关联承诺书；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磋商响应文件上法定代表人或被授权人的签字盖章齐全并加盖公章</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只能有一个有效报价，不得提交选择性报价，按要求提交二次或多次报价，且每轮报价不超过采购预算金额或最高限价或磋商小组成员认为低于成本的报价。</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商务偏离表.docx 供应商承诺书.docx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安全生产委托服务工作实施方案</w:t>
            </w:r>
          </w:p>
        </w:tc>
        <w:tc>
          <w:tcPr>
            <w:tcW w:type="dxa" w:w="2492"/>
          </w:tcPr>
          <w:p>
            <w:pPr>
              <w:pStyle w:val="null3"/>
            </w:pPr>
            <w:r>
              <w:rPr>
                <w:rFonts w:ascii="仿宋_GB2312" w:hAnsi="仿宋_GB2312" w:cs="仿宋_GB2312" w:eastAsia="仿宋_GB2312"/>
              </w:rPr>
              <w:t>根据磋商文件的要求，对供应商的实施方案的专业性、技术指标的合理性和可操作性进行赋分，能在完全理解项目要求的基础上具有完善的实施方案，且专业性、科学性高，操作性强的计10.1-12分；方案的编制完整、可操作性较强，易懂计7.1-10分；基本满足项目要求，方案较详细、合理计4.1-7分；方案简单模糊计1-4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商务偏离表.docx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根据供应商对本项目制定科学、合理的工作进度计划，且具有进度控制等技术组织措施，详细合理，完全满足磋商文件要求计4.1-6分；进度及措施较合理，基本满足磋商文件要求计2.1-4分；简单、不合理计1-2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商务偏离表.docx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根据满足安全生产委托服务实际需求，针对供应商是否掌握国家和省市的方针、政策法规，对采购人各项部门的工作职能、职责、规范、标准和要求等安全生产委托服务工作重点难点的分析。对服务重点难点把握突出、建议叙述全面、合理计6.1-8分；对服务重点难点建议叙述基本全面、基本合理计4.1-6分；对服务重点难点建议叙述不全面、不合理计1-4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商务偏离表.docx</w:t>
            </w:r>
          </w:p>
        </w:tc>
      </w:tr>
      <w:tr>
        <w:tc>
          <w:tcPr>
            <w:tcW w:type="dxa" w:w="831"/>
            <w:vMerge/>
          </w:tcPr>
          <w:p/>
        </w:tc>
        <w:tc>
          <w:tcPr>
            <w:tcW w:type="dxa" w:w="1661"/>
          </w:tcPr>
          <w:p>
            <w:pPr>
              <w:pStyle w:val="null3"/>
            </w:pPr>
            <w:r>
              <w:rPr>
                <w:rFonts w:ascii="仿宋_GB2312" w:hAnsi="仿宋_GB2312" w:cs="仿宋_GB2312" w:eastAsia="仿宋_GB2312"/>
              </w:rPr>
              <w:t>管理体系</w:t>
            </w:r>
          </w:p>
        </w:tc>
        <w:tc>
          <w:tcPr>
            <w:tcW w:type="dxa" w:w="2492"/>
          </w:tcPr>
          <w:p>
            <w:pPr>
              <w:pStyle w:val="null3"/>
            </w:pPr>
            <w:r>
              <w:rPr>
                <w:rFonts w:ascii="仿宋_GB2312" w:hAnsi="仿宋_GB2312" w:cs="仿宋_GB2312" w:eastAsia="仿宋_GB2312"/>
              </w:rPr>
              <w:t>针对本项目有完善的管理体系，项目规划合理，制定有效的管理制度，详细合理，完全满足磋商文件要求计4.1-6分；规划较合理，基本满足磋商文件要求计2.1-4分；规划不合理、简单计1-2分；未提供不计分。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商务偏离表.docx</w:t>
            </w:r>
          </w:p>
        </w:tc>
      </w:tr>
      <w:tr>
        <w:tc>
          <w:tcPr>
            <w:tcW w:type="dxa" w:w="831"/>
            <w:vMerge/>
          </w:tcPr>
          <w:p/>
        </w:tc>
        <w:tc>
          <w:tcPr>
            <w:tcW w:type="dxa" w:w="1661"/>
          </w:tcPr>
          <w:p>
            <w:pPr>
              <w:pStyle w:val="null3"/>
            </w:pPr>
            <w:r>
              <w:rPr>
                <w:rFonts w:ascii="仿宋_GB2312" w:hAnsi="仿宋_GB2312" w:cs="仿宋_GB2312" w:eastAsia="仿宋_GB2312"/>
              </w:rPr>
              <w:t>人员配备与管理</w:t>
            </w:r>
          </w:p>
        </w:tc>
        <w:tc>
          <w:tcPr>
            <w:tcW w:type="dxa" w:w="2492"/>
          </w:tcPr>
          <w:p>
            <w:pPr>
              <w:pStyle w:val="null3"/>
            </w:pPr>
            <w:r>
              <w:rPr>
                <w:rFonts w:ascii="仿宋_GB2312" w:hAnsi="仿宋_GB2312" w:cs="仿宋_GB2312" w:eastAsia="仿宋_GB2312"/>
              </w:rPr>
              <w:t>针对本项目服务人员的配备与管理方案，包括不限于设置专职工作小组，明确对接人及人员工作安排框架、承诺后期配备的人员数量及人员专业满足本项目的需求等内容。所配人员安排得当、科学合理满足要求，承诺有针对性计7.1-10分；所配人员框架简单、比较科学合理，承诺针对性一般计4.1-7分；所配人员安排欠缺、方案简单，承诺模糊计1-4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商务偏离表.docx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须具有注册安全工程师职业资格证书计1分，（未提供不计分）。有丰富的相关领域类似项目的工作经验，每提供一份业绩计1分，满分3分；未提供不计分。 （须提供磋商截止时间前六个月内任意一个月本单位为其缴纳社保的凭证，未提供不计分。）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商务偏离表.docx</w:t>
            </w:r>
          </w:p>
        </w:tc>
      </w:tr>
      <w:tr>
        <w:tc>
          <w:tcPr>
            <w:tcW w:type="dxa" w:w="831"/>
            <w:vMerge/>
          </w:tcPr>
          <w:p/>
        </w:tc>
        <w:tc>
          <w:tcPr>
            <w:tcW w:type="dxa" w:w="1661"/>
          </w:tcPr>
          <w:p>
            <w:pPr>
              <w:pStyle w:val="null3"/>
            </w:pPr>
            <w:r>
              <w:rPr>
                <w:rFonts w:ascii="仿宋_GB2312" w:hAnsi="仿宋_GB2312" w:cs="仿宋_GB2312" w:eastAsia="仿宋_GB2312"/>
              </w:rPr>
              <w:t>安全教育培训</w:t>
            </w:r>
          </w:p>
        </w:tc>
        <w:tc>
          <w:tcPr>
            <w:tcW w:type="dxa" w:w="2492"/>
          </w:tcPr>
          <w:p>
            <w:pPr>
              <w:pStyle w:val="null3"/>
            </w:pPr>
            <w:r>
              <w:rPr>
                <w:rFonts w:ascii="仿宋_GB2312" w:hAnsi="仿宋_GB2312" w:cs="仿宋_GB2312" w:eastAsia="仿宋_GB2312"/>
              </w:rPr>
              <w:t>针对本项目内容特点及要求编辑有针对性的安全教育培训方案。 安全教育培训非常详细、全面、有效计6.1-8分；安全教育培训基本详细、全面、有效计4.1-6分；安全教育培训简单、不全面计1-4分；未提供不计分。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商务偏离表.docx</w:t>
            </w:r>
          </w:p>
        </w:tc>
      </w:tr>
      <w:tr>
        <w:tc>
          <w:tcPr>
            <w:tcW w:type="dxa" w:w="831"/>
            <w:vMerge/>
          </w:tcPr>
          <w:p/>
        </w:tc>
        <w:tc>
          <w:tcPr>
            <w:tcW w:type="dxa" w:w="1661"/>
          </w:tcPr>
          <w:p>
            <w:pPr>
              <w:pStyle w:val="null3"/>
            </w:pPr>
            <w:r>
              <w:rPr>
                <w:rFonts w:ascii="仿宋_GB2312" w:hAnsi="仿宋_GB2312" w:cs="仿宋_GB2312" w:eastAsia="仿宋_GB2312"/>
              </w:rPr>
              <w:t>本项目配置完善的交通工具</w:t>
            </w:r>
          </w:p>
        </w:tc>
        <w:tc>
          <w:tcPr>
            <w:tcW w:type="dxa" w:w="2492"/>
          </w:tcPr>
          <w:p>
            <w:pPr>
              <w:pStyle w:val="null3"/>
            </w:pPr>
            <w:r>
              <w:rPr>
                <w:rFonts w:ascii="仿宋_GB2312" w:hAnsi="仿宋_GB2312" w:cs="仿宋_GB2312" w:eastAsia="仿宋_GB2312"/>
              </w:rPr>
              <w:t>针对本项目配置完善的交通工具，并提供车辆照片、行驶证等材料复印件。 检查、督查车辆满足日常服务所需且材料齐全计4.1-6分；检查、督查车辆基本满足日常服务所需计2.1-4分；检查、督查车辆证明材料不齐全计1-2分；未提供不计分。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商务偏离表.docx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供应商有完善的服务保障措施，包括组织保障、人员保障，以及服务应急预案，内容详实、明确、有效。 服务质量保障措施非常详实、明确、有效计7.1-10分；服务质量保障措施一般、内容明确较完整、有针对性计4.1-7分；服务质量保障措施简单、内容模糊、针对性弱计1-4分；未提供不计分。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商务偏离表.docx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实施及协调过程有明确承诺，并承诺积极按照采购人提出的要求或意见改进工作，且针对本项目作出实质性承诺（应包含不能完全履行承诺时愿意接受相关处罚的承诺），详细合理可计4.1-6分；条理简单、实质性体现一般计2.1-4分；条理模糊、实质针对性差计1-2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商务偏离表.docx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保密制度健全、措施具体详细可行，得3.1-6分； 保密制度基本健全、措施基本可行，得1-3分，未提供不计分。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商务偏离表.docx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供应商提供自2022年01月01日起至今类似项目业绩（以合同签订时间或中标通知书时间为准），每提供一个业绩得2分，满分8分。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1.满足磋商文件实质性要求且最终报价最低的供应商的价格为磋商基准价，其价格分为满分10分。2.磋商总报价得分=(磋商基准价／最终磋商总报价)×10。注：计算分数时四舍五入取小数点后两位。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