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版本号：HRC-ZBDL-2025-0077820250909001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西安国家民用航天产业基地卫测中心北大门匝道及上方挡墙项目施工图设计服务采购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HRC-ZBDL-2025-00778</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西安国家民用航天产业基地卫测中心北大门匝道及上方挡墙项目施工图设计服务采购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HRC-ZBDL-2025-00778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西安国家民用航天产业基地卫测中心北大门匝道及上方挡墙项目施工图设计服务采购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西安国家民用航天产业基地卫测中心北大门匝道及上方挡墙项目施工图设计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六年个月内基本存款账户开户银行出具的资信证明（附其基本账户信息表）；（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会保障资金缴纳证明：提供磋商截止时间前一年内已缴存任意一个月社会保障资金缴存单据或社保机构开具的社会保险参保缴费证明，依法不需要缴纳社会保障资金的单位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时间前一年内已缴纳任意一个月纳税证明或税务机关开具的完税证明（时间以税款所属日期为准，凭据应有税务机关或代收机关的公章或业务专用章。）依法免税或无须缴纳税收的单位应提供相关证明文件；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6、履约能力：具备履行合同所必需的设备和专业技术能力的证明材料或书面声明；供应商需在项目电子化交易系统中按要求上传相应证明文件并进行电子签章。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8、公司资质证明：供应商应具备地质灾害评估和治理工程勘查设计资质甲级及以上；供应商需在项目电子化交易系统中按要求上传相应证明文件并进行电子签章。</w:t>
      </w:r>
    </w:p>
    <w:p>
      <w:pPr>
        <w:pStyle w:val="null3"/>
      </w:pPr>
      <w:r>
        <w:rPr>
          <w:rFonts w:ascii="仿宋_GB2312" w:hAnsi="仿宋_GB2312" w:cs="仿宋_GB2312" w:eastAsia="仿宋_GB2312"/>
        </w:rPr>
        <w:t>9、信用记录：供应商不得为“信用中国”网站（www.creditchina.gov.cn）中失信被执行人和重大税收违法失信主体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10、企业关联关系：单位负责人为同一人或者存在直接控股、管理关系的不同供应商，不得同时参加本项目磋商；供应商需在项目电子化交易系统中按要求上传相应证明文件并进行电子签章。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11、不接受联合体：项目不接受联合体投标（提供承诺书）；供应商需在项目电子化交易系统中按要求上传相应证明文件并进行电子签章。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航天中路东段398号寰宇大厦西侧原垃圾压缩站旧址</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029-62631135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采购包1：717,178.35元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代理服务费收费标准：代理服务费由成交供应商在办理成交通知书手续之前向采购代理机构缴纳。 采购代理服务费：按照国家计委[2002]1980号文件规定的服务类标准以中标金额为基准价计算按85%收取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现行的《市政公用工程设计文件编制深度规定》等相关国家、行业规范标准，同时应满足省、市有关部门报批报建及施工图报审规定的深度要求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西安国家民用航天产业基地卫测中心北大门匝道及上方挡墙项目施工图设计服务采购项目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717,178.35</w:t>
      </w:r>
    </w:p>
    <w:p>
      <w:pPr>
        <w:pStyle w:val="null3"/>
      </w:pPr>
      <w:r>
        <w:rPr>
          <w:rFonts w:ascii="仿宋_GB2312" w:hAnsi="仿宋_GB2312" w:cs="仿宋_GB2312" w:eastAsia="仿宋_GB2312"/>
        </w:rPr>
        <w:t>采购包最高限价（元）: 717,178.35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西安国家民用航天产业基地卫测中心北大门匝道及上方挡墙项目施工图设计服务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717,178.35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标的名称：西安国家民用航天产业基地卫测中心北大门匝道及上方挡墙项目施工图设计服务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rPr>
              <w:t xml:space="preserve">  西安国家民用航天产业基地卫测中心北大门匝道及上方挡墙项目施工图设计。</w:t>
            </w:r>
          </w:p>
          <w:p>
            <w:pPr>
              <w:pStyle w:val="null3"/>
            </w:pPr>
            <w:r>
              <w:rPr>
                <w:rFonts w:ascii="仿宋_GB2312" w:hAnsi="仿宋_GB2312" w:cs="仿宋_GB2312" w:eastAsia="仿宋_GB2312"/>
                <w:sz w:val="24"/>
              </w:rPr>
              <w:t>卫测中心北大门匝道及上方挡墙项目位于西安国家民用航天产业基地雁引路与东长安街交叉位置以东约</w:t>
            </w:r>
            <w:r>
              <w:rPr>
                <w:rFonts w:ascii="仿宋_GB2312" w:hAnsi="仿宋_GB2312" w:cs="仿宋_GB2312" w:eastAsia="仿宋_GB2312"/>
                <w:sz w:val="24"/>
              </w:rPr>
              <w:t>350m，小鲍坡村南侧东长安街上，与规划东长安街紧邻。卫测中心北大门与其正下方规划东长安街最大高差为13.5m，规划东长安街最大纵坡率为5.728%，主干道纵坡率已达极限，无法抬高东长安街出入口标高与卫测中心北大门直接衔接，需从规划东长安街引入一条匝道与北大门连接，便于卫测中心工作运营活动从东长安街直接进入基地。同时现状地形限制了匝道规划，需配套挡墙等手段达到匝道安全通行目的。</w:t>
            </w:r>
          </w:p>
          <w:p>
            <w:pPr>
              <w:pStyle w:val="null3"/>
              <w:ind w:firstLine="88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服务内容（包括工作</w:t>
            </w:r>
            <w:r>
              <w:rPr>
                <w:rFonts w:ascii="仿宋_GB2312" w:hAnsi="仿宋_GB2312" w:cs="仿宋_GB2312" w:eastAsia="仿宋_GB2312"/>
                <w:sz w:val="24"/>
                <w:b/>
                <w:color w:val="000000"/>
              </w:rPr>
              <w:t>区域、工作内容等）</w:t>
            </w:r>
          </w:p>
          <w:p>
            <w:pPr>
              <w:pStyle w:val="null3"/>
              <w:spacing w:before="120" w:after="60"/>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西安国家民用航天产业基地卫测中心北大门匝道及上方挡墙项目施工图设计：根据业主提供的相关资料，编制《西安国家民用航天产业基地卫测中心北大门匝道及上方挡墙项目施工图设计》成果，满足国家有关规定并全程协助配合甲方获取本项目涉及的相关部门会签意见。</w:t>
            </w:r>
          </w:p>
          <w:p>
            <w:pPr>
              <w:pStyle w:val="null3"/>
              <w:jc w:val="left"/>
            </w:pPr>
            <w:r>
              <w:rPr>
                <w:rFonts w:ascii="仿宋_GB2312" w:hAnsi="仿宋_GB2312" w:cs="仿宋_GB2312" w:eastAsia="仿宋_GB2312"/>
                <w:sz w:val="24"/>
                <w:b/>
                <w:color w:val="000000"/>
              </w:rPr>
              <w:t>三、设计依据</w:t>
            </w:r>
          </w:p>
          <w:p>
            <w:pPr>
              <w:pStyle w:val="null3"/>
              <w:ind w:firstLine="476"/>
              <w:jc w:val="left"/>
            </w:pPr>
            <w:r>
              <w:rPr>
                <w:rFonts w:ascii="仿宋_GB2312" w:hAnsi="仿宋_GB2312" w:cs="仿宋_GB2312" w:eastAsia="仿宋_GB2312"/>
                <w:sz w:val="24"/>
                <w:color w:val="000000"/>
              </w:rPr>
              <w:t>1、国家有关法律、法规、标准、规范及省、市有关规定。</w:t>
            </w:r>
          </w:p>
          <w:p>
            <w:pPr>
              <w:pStyle w:val="null3"/>
              <w:ind w:firstLine="476"/>
              <w:jc w:val="left"/>
            </w:pPr>
            <w:r>
              <w:rPr>
                <w:rFonts w:ascii="仿宋_GB2312" w:hAnsi="仿宋_GB2312" w:cs="仿宋_GB2312" w:eastAsia="仿宋_GB2312"/>
                <w:sz w:val="24"/>
                <w:color w:val="000000"/>
              </w:rPr>
              <w:t>2、甲方提供的各类设计依据（地形图、道路规划红线图、道路控规等）。</w:t>
            </w:r>
          </w:p>
          <w:p>
            <w:pPr>
              <w:pStyle w:val="null3"/>
              <w:ind w:firstLine="476"/>
              <w:jc w:val="left"/>
            </w:pPr>
            <w:r>
              <w:rPr>
                <w:rFonts w:ascii="仿宋_GB2312" w:hAnsi="仿宋_GB2312" w:cs="仿宋_GB2312" w:eastAsia="仿宋_GB2312"/>
                <w:sz w:val="24"/>
                <w:color w:val="000000"/>
              </w:rPr>
              <w:t>3、政府各主管部门规划审批文件。</w:t>
            </w:r>
          </w:p>
          <w:p>
            <w:pPr>
              <w:pStyle w:val="null3"/>
              <w:ind w:firstLine="476"/>
              <w:jc w:val="left"/>
            </w:pPr>
            <w:r>
              <w:rPr>
                <w:rFonts w:ascii="仿宋_GB2312" w:hAnsi="仿宋_GB2312" w:cs="仿宋_GB2312" w:eastAsia="仿宋_GB2312"/>
                <w:sz w:val="24"/>
                <w:color w:val="000000"/>
              </w:rPr>
              <w:t>4、《工程设计文件编制深度规定》</w:t>
            </w:r>
          </w:p>
          <w:p>
            <w:pPr>
              <w:pStyle w:val="null3"/>
              <w:ind w:firstLine="476"/>
              <w:jc w:val="left"/>
            </w:pPr>
            <w:r>
              <w:rPr>
                <w:rFonts w:ascii="仿宋_GB2312" w:hAnsi="仿宋_GB2312" w:cs="仿宋_GB2312" w:eastAsia="仿宋_GB2312"/>
                <w:sz w:val="24"/>
                <w:color w:val="000000"/>
              </w:rPr>
              <w:t>5、发包人的设计标准、审核意见及其他设计要求。</w:t>
            </w:r>
          </w:p>
          <w:p>
            <w:pPr>
              <w:pStyle w:val="null3"/>
              <w:spacing w:before="120" w:after="60"/>
              <w:jc w:val="both"/>
            </w:pPr>
            <w:r>
              <w:rPr>
                <w:rFonts w:ascii="仿宋_GB2312" w:hAnsi="仿宋_GB2312" w:cs="仿宋_GB2312" w:eastAsia="仿宋_GB2312"/>
                <w:sz w:val="24"/>
                <w:b/>
              </w:rPr>
              <w:t>四、</w:t>
            </w:r>
            <w:r>
              <w:rPr>
                <w:rFonts w:ascii="仿宋_GB2312" w:hAnsi="仿宋_GB2312" w:cs="仿宋_GB2312" w:eastAsia="仿宋_GB2312"/>
                <w:sz w:val="24"/>
                <w:b/>
              </w:rPr>
              <w:t>工作要求</w:t>
            </w:r>
          </w:p>
          <w:p>
            <w:pPr>
              <w:pStyle w:val="null3"/>
              <w:ind w:firstLine="476"/>
              <w:jc w:val="left"/>
            </w:pPr>
            <w:r>
              <w:rPr>
                <w:rFonts w:ascii="仿宋_GB2312" w:hAnsi="仿宋_GB2312" w:cs="仿宋_GB2312" w:eastAsia="仿宋_GB2312"/>
                <w:sz w:val="24"/>
                <w:color w:val="000000"/>
              </w:rPr>
              <w:t>1、设计人要充分了解现状情况，充分收集相关资料，听取政府有关部门及发包人、代建单位的意见。</w:t>
            </w:r>
          </w:p>
          <w:p>
            <w:pPr>
              <w:pStyle w:val="null3"/>
              <w:ind w:firstLine="476"/>
              <w:jc w:val="left"/>
            </w:pPr>
            <w:r>
              <w:rPr>
                <w:rFonts w:ascii="仿宋_GB2312" w:hAnsi="仿宋_GB2312" w:cs="仿宋_GB2312" w:eastAsia="仿宋_GB2312"/>
                <w:sz w:val="24"/>
                <w:color w:val="000000"/>
              </w:rPr>
              <w:t>2、设计人需向发包人及代建单位进行中间成果汇报和讨论，明确落实发包人意图，会议一般安排在中间方案阶段和政府讨论汇报阶段，在进行中间成果汇报时需要提供汇报提纲及成果简本若干套。</w:t>
            </w:r>
          </w:p>
          <w:p>
            <w:pPr>
              <w:pStyle w:val="null3"/>
              <w:ind w:firstLine="476"/>
              <w:jc w:val="left"/>
            </w:pPr>
            <w:r>
              <w:rPr>
                <w:rFonts w:ascii="仿宋_GB2312" w:hAnsi="仿宋_GB2312" w:cs="仿宋_GB2312" w:eastAsia="仿宋_GB2312"/>
                <w:sz w:val="24"/>
                <w:color w:val="000000"/>
              </w:rPr>
              <w:t>3、工程设计成果需要达到上规委会要求深度，设计人应协助发包人及代建单位一同完成向当地政府进行汇报工作</w:t>
            </w:r>
          </w:p>
          <w:p>
            <w:pPr>
              <w:pStyle w:val="null3"/>
              <w:ind w:firstLine="88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委托人指定地点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经发包人及代建单位审核满足现行的《市政公用工程设计文件编制深度规定》等相关标准，同时应满足省、市有关部门报批报建及施工图报审规定的深度要求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施工图设计经发包人及代建单位审核接收后，并配合相关部门审批后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发包人违约责任 发包人支付设计人的违约金：根据设计人的经济损失协商具体违约金额。 二、设计人违约责任 1 设计人支付发包人的违约金：签约合同价的20% 。 2 设计人逾期交付工程设计文件的违约金：签约合同价的2‰/天。 设计人逾期交付工程设计文件的违约金的上限：签约合同价的5% 。 3 设计人设计文件不合格的损失赔偿金的上限：设计人除负责无偿采取补救措施外，还应向发包人支付赔偿金，赔偿金额上限为合同总额20% 。 4 设计人未经发包人及代建单位同意擅自对工程设计进行分包的违约责任：签约合同价的20% 。 三、因合同及合同有关事项发生的争议，按下列第（2）种方式解决： （1）向西安市仲裁委员会申请仲裁； （2）向项目所在地人民法院起诉。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六年个月内基本存款账户开户银行出具的资信证明（附其基本账户信息表）；（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一年内已缴存任意一个月社会保障资金缴存单据或社保机构开具的社会保险参保缴费证明，依法不需要缴纳社会保障资金的单位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一年内已缴纳任意一个月纳税证明或税务机关开具的完税证明（时间以税款所属日期为准，凭据应有税务机关或代收机关的公章或业务专用章。）依法免税或无须缴纳税收的单位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具备履行合同所必需的设备和专业技术能力的证明材料或书面声明；供应商需在项目电子化交易系统中按要求上传相应证明文件并进行电子签章。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公司资质证明</w:t>
            </w:r>
          </w:p>
        </w:tc>
        <w:tc>
          <w:tcPr>
            <w:tcW w:type="dxa" w:w="3322"/>
          </w:tcPr>
          <w:p>
            <w:pPr>
              <w:pStyle w:val="null3"/>
            </w:pPr>
            <w:r>
              <w:rPr>
                <w:rFonts w:ascii="仿宋_GB2312" w:hAnsi="仿宋_GB2312" w:cs="仿宋_GB2312" w:eastAsia="仿宋_GB2312"/>
              </w:rPr>
              <w:t>供应商应具备地质灾害评估和治理工程勘查设计资质甲级及以上；供应商需在项目电子化交易系统中按要求上传相应证明文件并进行电子签章。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失信被执行人和重大税收违法失信主体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供应商拒绝政府采购领域商业贿赂承诺书.docx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整体设计方案思路</w:t>
            </w:r>
          </w:p>
        </w:tc>
        <w:tc>
          <w:tcPr>
            <w:tcW w:type="dxa" w:w="2492"/>
          </w:tcPr>
          <w:p>
            <w:pPr>
              <w:pStyle w:val="null3"/>
            </w:pPr>
            <w:r>
              <w:rPr>
                <w:rFonts w:ascii="仿宋_GB2312" w:hAnsi="仿宋_GB2312" w:cs="仿宋_GB2312" w:eastAsia="仿宋_GB2312"/>
              </w:rPr>
              <w:t>针对本项目设计目标、规模、内容理解透彻，能对采购人的需求提供详细的整体设计方案,理念新颖、思路清晰。整体设计方案工作思路清晰、技术路线明确、任务分解合理得7.1-10分；整体设计方案工作思路较为清晰、技术路线较为明确、任务分解较为合理得4.1-7分；整体设计方案工作思路混乱、技术路线不明确、任务分解不合理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各个阶段的设计工作及各专业施工图设计、审图、审核备案等有针对性的实施方法，实施方案思路清晰、方法先进、任务分解合理7.1-10分；实施方案思路较为清晰、方法较为先进、任务分解较为合理得4.1-7分；实施方案工作思路混乱、任务分解不合理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具备详细、可行的管理制度，完善、合理的程序，严谨的设计方案和图纸编制、审核流程。阐述确保检查结果质量的保障措施，要求措施具体详细、可行。内容的全面可行，科学详细，内容清晰得7.1-10分；内容的较全面，较详细得4.1-7分；内容一般的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提供满足采购需求的时间进度安排一览表或说明，要求时间进度安排详细完善、科学、合理。详细完善、科学、合理的时间保证措施。得7.1-9分；较完善、科学、合理的时间保证措施得4.1-7分；提供的时间保证措施不全或内容简单得1-4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具备详细、可行的管理制度，完善、合理的程序，严谨的设计工程限额设计控制合理可行，措施有力，根据响应情况得7.1-10分；工程限额设计控制较为合理可行，措施一般得4.1-7分；工程限额设计控制基本合理可行，措施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对本项目内容，重点难点理解深刻到位、分析全面，应对措施科学合理、有针对性、可实施性得6.1-8分；重点难点分析基本全面，应对措施合理，有一定可实施性得3.1-6分；重点难点分析不到位，应对措施简单得1-3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一、评审内容 供应商针对本项目有具体可行的团队配置方案，包括但不限于：①团队人员组织架构安排②团队人员的岗位职责③人员配置合理，有丰富的项目经验。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1.对采购内容的相关技术质量进度要求、时限要求、设计质量与时效等做出承诺，根据内容详尽程度赋1-3分； 2.对后期服务等相关内容做出承诺，内容全面，赋1-2分。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具有类似设计业绩（以合同复印件加盖公章为依据）。每提供一个业绩得2分，满分10分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经资格评审、符合性评审均合格的响应文件，其磋商报价为有效的磋商报价。 评标基准价：满足磋商文件要求且磋商价格最低的磋商报价为评标基准价。 其他供应商的价格分统一按照下列公式计算 磋商报价得分=（评标基准价/最终报价）×10（价格权值）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详见附件：北大门施工图设计合同.docx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