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版本号：SXWXZBDL2026-ZC-GK100120260228001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西安航天基地停车场地经营权转让项目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SXWXZBDL2026-ZC-GK1001</w:t>
      </w:r>
      <w:r>
        <w:br/>
      </w:r>
      <w:r>
        <w:br/>
      </w:r>
      <w:r>
        <w:br/>
      </w:r>
    </w:p>
    <w:p>
      <w:pPr>
        <w:pStyle w:val="null3"/>
        <w:jc w:val="center"/>
        <w:outlineLvl w:val="2"/>
      </w:pPr>
      <w:r>
        <w:rPr>
          <w:rFonts w:ascii="仿宋_GB2312" w:hAnsi="仿宋_GB2312" w:cs="仿宋_GB2312" w:eastAsia="仿宋_GB2312"/>
          <w:sz w:val="28"/>
          <w:b/>
        </w:rPr>
        <w:t>西安国家民用航天产业基地管理委员会</w:t>
      </w:r>
    </w:p>
    <w:p>
      <w:pPr>
        <w:pStyle w:val="null3"/>
        <w:jc w:val="center"/>
        <w:outlineLvl w:val="2"/>
      </w:pPr>
      <w:r>
        <w:rPr>
          <w:rFonts w:ascii="仿宋_GB2312" w:hAnsi="仿宋_GB2312" w:cs="仿宋_GB2312" w:eastAsia="仿宋_GB2312"/>
          <w:sz w:val="28"/>
          <w:b/>
        </w:rPr>
        <w:t>陕西万兴招标代理有限公司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陕西万兴招标代理有限公司</w:t>
      </w:r>
      <w:r>
        <w:rPr>
          <w:rFonts w:ascii="仿宋_GB2312" w:hAnsi="仿宋_GB2312" w:cs="仿宋_GB2312" w:eastAsia="仿宋_GB2312"/>
        </w:rPr>
        <w:t>（以下简称“代理机构”）受</w:t>
      </w:r>
      <w:r>
        <w:rPr>
          <w:rFonts w:ascii="仿宋_GB2312" w:hAnsi="仿宋_GB2312" w:cs="仿宋_GB2312" w:eastAsia="仿宋_GB2312"/>
        </w:rPr>
        <w:t>西安国家民用航天产业基地管理委员会</w:t>
      </w:r>
      <w:r>
        <w:rPr>
          <w:rFonts w:ascii="仿宋_GB2312" w:hAnsi="仿宋_GB2312" w:cs="仿宋_GB2312" w:eastAsia="仿宋_GB2312"/>
        </w:rPr>
        <w:t>委托，拟对</w:t>
      </w:r>
      <w:r>
        <w:rPr>
          <w:rFonts w:ascii="仿宋_GB2312" w:hAnsi="仿宋_GB2312" w:cs="仿宋_GB2312" w:eastAsia="仿宋_GB2312"/>
        </w:rPr>
        <w:t>西安航天基地停车场地经营权转让项目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SXWXZBDL2026-ZC-GK1001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西安航天基地停车场地经营权转让项目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项目范围位于西安航天基地，共有停车位11436个，合作期限30年。评估价值：11436个停车位30年的经营权为人民币42,930.00万元（最低收入价，报价后会上浮）。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1、营业执照或其他组织：具有独立承担民事责任的法人、其他组织或自然人，并出具合法有效的营业执照或事业单位法人证书等国家规定的相关证明，自然人参与的提供其身份证明。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2、供应商应授权合法的人员参加投标全过程：法定代表人授权书（附法定代表人、被授权人身份证复印件），法定代表人直接参加投标，须提供法定代表人身份证明及身份证复印件。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财务状况：提供2024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4、依法缴纳税收证明资料：提供投标截止日前一年内任意一个月的纳税证明或完税证明（增值税、印花税、城市维护建设费、企业所得税等一种或多种税种），依法免税的单位提供相关证明材料。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5、依法缴纳社会保险证明资料：提供投标截止日前一年内任意一个月的社保资金交纳证明，依法不需要缴纳社保资金的单位提供相关证明材料。</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7、承诺书：提供具有履行合同所必需的设备和专业技术能力的承诺。</w:t>
      </w:r>
    </w:p>
    <w:p>
      <w:pPr>
        <w:pStyle w:val="null3"/>
      </w:pPr>
      <w:r>
        <w:rPr>
          <w:rFonts w:ascii="仿宋_GB2312" w:hAnsi="仿宋_GB2312" w:cs="仿宋_GB2312" w:eastAsia="仿宋_GB2312"/>
        </w:rPr>
        <w:t>8、非联合体投标：本采购包不接受联合体投标，供应商提供非联合体投标承诺书。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西安国家民用航天产业基地管理委员会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西安市长安区航天中路369号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029-85688724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陕西万兴招标代理有限公司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西安市莲湖区北关正街35号方兴大厦4-018室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董雪、张佰机、张小娜、李玉萍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029-89627187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采购包1：203.00元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本采购包履约保证金为合同金额的0.23%</w:t>
            </w:r>
          </w:p>
          <w:p>
            <w:pPr>
              <w:pStyle w:val="null3"/>
            </w:pPr>
            <w:r>
              <w:rPr>
                <w:rFonts w:ascii="仿宋_GB2312" w:hAnsi="仿宋_GB2312" w:cs="仿宋_GB2312" w:eastAsia="仿宋_GB2312"/>
              </w:rPr>
              <w:t>说明：由乙方向甲方提交，可通过履约保函等形式提交，具体由甲乙双方协商。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代理服务费收费标准：定额收取，人民币陆万元整（¥60000.00元）。 户名：陕西万兴招标代理有限公司 开户行：北京银行股份有限公司西安大明宫支行 账号：2000 0034 4675 0001 6437 653 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西安国家民用航天产业基地管理委员会</w:t>
      </w:r>
      <w:r>
        <w:rPr>
          <w:rFonts w:ascii="仿宋_GB2312" w:hAnsi="仿宋_GB2312" w:cs="仿宋_GB2312" w:eastAsia="仿宋_GB2312"/>
        </w:rPr>
        <w:t>和</w:t>
      </w:r>
      <w:r>
        <w:rPr>
          <w:rFonts w:ascii="仿宋_GB2312" w:hAnsi="仿宋_GB2312" w:cs="仿宋_GB2312" w:eastAsia="仿宋_GB2312"/>
        </w:rPr>
        <w:t>陕西万兴招标代理有限公司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西安国家民用航天产业基地管理委员会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陕西万兴招标代理有限公司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西安国家民用航天产业基地管理委员会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陕西万兴招标代理有限公司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联系人：董雪</w:t>
      </w:r>
    </w:p>
    <w:p>
      <w:pPr>
        <w:pStyle w:val="null3"/>
      </w:pPr>
      <w:r>
        <w:rPr>
          <w:rFonts w:ascii="仿宋_GB2312" w:hAnsi="仿宋_GB2312" w:cs="仿宋_GB2312" w:eastAsia="仿宋_GB2312"/>
        </w:rPr>
        <w:t>联系电话：029-89627187</w:t>
      </w:r>
    </w:p>
    <w:p>
      <w:pPr>
        <w:pStyle w:val="null3"/>
      </w:pPr>
      <w:r>
        <w:rPr>
          <w:rFonts w:ascii="仿宋_GB2312" w:hAnsi="仿宋_GB2312" w:cs="仿宋_GB2312" w:eastAsia="仿宋_GB2312"/>
        </w:rPr>
        <w:t>地址：西安市莲湖区北关正街35号方兴大厦4-018室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项目范围位于西安航天基地，共有停车位11436个，合作期限30年。评估价值：11436个停车位30年的经营权为人民币42,930.00万元（最低收入价，报价后会上浮）。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203.00</w:t>
      </w:r>
    </w:p>
    <w:p>
      <w:pPr>
        <w:pStyle w:val="null3"/>
      </w:pPr>
      <w:r>
        <w:rPr>
          <w:rFonts w:ascii="仿宋_GB2312" w:hAnsi="仿宋_GB2312" w:cs="仿宋_GB2312" w:eastAsia="仿宋_GB2312"/>
        </w:rPr>
        <w:t>采购包最高限价（元）: 203.00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西安航天基地停车场地经营权转让项目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203.00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标的名称：西安航天基地停车场地经营权转让项目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27"/>
            </w:tblGrid>
            <w:tr>
              <w:tc>
                <w:tcPr>
                  <w:tcW w:type="dxa" w:w="2227"/>
                  <w:tcBorders>
                    <w:top w:val="single" w:color="333333" w:sz="4"/>
                    <w:left w:val="single" w:color="333333" w:sz="4"/>
                    <w:bottom w:val="single" w:color="333333" w:sz="4"/>
                    <w:right w:val="single" w:color="333333" w:sz="4"/>
                  </w:tcBorders>
                  <w:tcMar>
                    <w:top w:type="dxa" w:w="75"/>
                    <w:left w:type="dxa" w:w="135"/>
                    <w:bottom w:type="dxa" w:w="75"/>
                    <w:right w:type="dxa" w:w="135"/>
                  </w:tcMar>
                  <w:vAlign w:val="top"/>
                </w:tcPr>
                <w:p>
                  <w:pPr>
                    <w:pStyle w:val="null3"/>
                    <w:jc w:val="left"/>
                  </w:pPr>
                  <w:r>
                    <w:rPr>
                      <w:rFonts w:ascii="仿宋_GB2312" w:hAnsi="仿宋_GB2312" w:cs="仿宋_GB2312" w:eastAsia="仿宋_GB2312"/>
                      <w:sz w:val="24"/>
                      <w:color w:val="0A82E5"/>
                      <w:u w:val="single"/>
                      <w:shd w:fill="FFFFFF" w:val="clear"/>
                    </w:rPr>
                    <w:t>一、</w:t>
                  </w:r>
                  <w:r>
                    <w:rPr>
                      <w:rFonts w:ascii="仿宋_GB2312" w:hAnsi="仿宋_GB2312" w:cs="仿宋_GB2312" w:eastAsia="仿宋_GB2312"/>
                      <w:sz w:val="24"/>
                      <w:color w:val="0A82E5"/>
                      <w:u w:val="single"/>
                      <w:shd w:fill="FFFFFF" w:val="clear"/>
                    </w:rPr>
                    <w:t>项目范围位于西安航天基地，共有停车位</w:t>
                  </w:r>
                  <w:r>
                    <w:rPr>
                      <w:rFonts w:ascii="仿宋_GB2312" w:hAnsi="仿宋_GB2312" w:cs="仿宋_GB2312" w:eastAsia="仿宋_GB2312"/>
                      <w:sz w:val="24"/>
                      <w:color w:val="0A82E5"/>
                      <w:u w:val="single"/>
                      <w:shd w:fill="FFFFFF" w:val="clear"/>
                    </w:rPr>
                    <w:t>11436个，合作期限30年。</w:t>
                  </w:r>
                </w:p>
                <w:p>
                  <w:pPr>
                    <w:pStyle w:val="null3"/>
                    <w:jc w:val="left"/>
                  </w:pPr>
                  <w:r>
                    <w:rPr>
                      <w:rFonts w:ascii="仿宋_GB2312" w:hAnsi="仿宋_GB2312" w:cs="仿宋_GB2312" w:eastAsia="仿宋_GB2312"/>
                      <w:sz w:val="24"/>
                      <w:color w:val="0A82E5"/>
                      <w:u w:val="single"/>
                      <w:shd w:fill="FFFFFF" w:val="clear"/>
                    </w:rPr>
                    <w:t>评估价值：</w:t>
                  </w:r>
                  <w:r>
                    <w:rPr>
                      <w:rFonts w:ascii="仿宋_GB2312" w:hAnsi="仿宋_GB2312" w:cs="仿宋_GB2312" w:eastAsia="仿宋_GB2312"/>
                      <w:sz w:val="24"/>
                      <w:color w:val="0A82E5"/>
                      <w:u w:val="single"/>
                      <w:shd w:fill="FFFFFF" w:val="clear"/>
                    </w:rPr>
                    <w:t>11436个停车位30年的经营权为人民币42,930.00万元（最低收入价，报价后会上浮）。</w:t>
                  </w:r>
                </w:p>
              </w:tc>
            </w:tr>
            <w:tr>
              <w:tc>
                <w:tcPr>
                  <w:tcW w:type="dxa" w:w="2227"/>
                  <w:tcBorders>
                    <w:top w:val="none" w:color="000000" w:sz="4"/>
                    <w:left w:val="single" w:color="333333" w:sz="4"/>
                    <w:bottom w:val="single" w:color="333333" w:sz="4"/>
                    <w:right w:val="single" w:color="333333" w:sz="4"/>
                  </w:tcBorders>
                  <w:tcMar>
                    <w:top w:type="dxa" w:w="75"/>
                    <w:left w:type="dxa" w:w="135"/>
                    <w:bottom w:type="dxa" w:w="75"/>
                    <w:right w:type="dxa" w:w="135"/>
                  </w:tcMar>
                  <w:vAlign w:val="top"/>
                </w:tcPr>
                <w:p>
                  <w:pPr>
                    <w:pStyle w:val="null3"/>
                    <w:jc w:val="left"/>
                  </w:pPr>
                  <w:r>
                    <w:rPr>
                      <w:rFonts w:ascii="仿宋_GB2312" w:hAnsi="仿宋_GB2312" w:cs="仿宋_GB2312" w:eastAsia="仿宋_GB2312"/>
                      <w:sz w:val="24"/>
                      <w:color w:val="0A82E5"/>
                      <w:u w:val="single"/>
                      <w:shd w:fill="FFFFFF" w:val="clear"/>
                    </w:rPr>
                    <w:t>二、经营权价值付费计算公式</w:t>
                  </w:r>
                </w:p>
                <w:p>
                  <w:pPr>
                    <w:pStyle w:val="null3"/>
                    <w:ind w:firstLine="480"/>
                    <w:jc w:val="left"/>
                  </w:pPr>
                  <w:r>
                    <w:rPr>
                      <w:rFonts w:ascii="仿宋_GB2312" w:hAnsi="仿宋_GB2312" w:cs="仿宋_GB2312" w:eastAsia="仿宋_GB2312"/>
                      <w:sz w:val="24"/>
                      <w:color w:val="0A82E5"/>
                      <w:u w:val="single"/>
                      <w:shd w:fill="FFFFFF" w:val="clear"/>
                    </w:rPr>
                    <w:t>项目按运营成本投报，以</w:t>
                  </w:r>
                  <w:r>
                    <w:rPr>
                      <w:rFonts w:ascii="仿宋_GB2312" w:hAnsi="仿宋_GB2312" w:cs="仿宋_GB2312" w:eastAsia="仿宋_GB2312"/>
                      <w:sz w:val="24"/>
                      <w:color w:val="0A82E5"/>
                      <w:u w:val="single"/>
                      <w:shd w:fill="FFFFFF" w:val="clear"/>
                    </w:rPr>
                    <w:t>11436个停车位每年运营成本232.68万元为基准，得出单车位年运营成本为203元/个/年。项目预算按单车位经营期年运营成本投报，基准数值为203元/个/年，并通过公式计算反馈到经营权价值中。投报的运营成本越低，反向计算得出对应的经营权价值越高。根据目前的数据测算，最终的经营权价值计算公式为：评估价值42930万元+【13*（203-投标报价）】万元。上述公式中“13”为通过成本转换方式最终体现在经营权价值中的换算系数，通过测算模型、综合考虑税收和资金时间价值综合计算后得出。投报的运营成本越低，反向计算得出对应的经营权价值越高。</w:t>
                  </w:r>
                </w:p>
                <w:p>
                  <w:pPr>
                    <w:pStyle w:val="null3"/>
                    <w:ind w:firstLine="480"/>
                    <w:jc w:val="left"/>
                  </w:pPr>
                  <w:r>
                    <w:rPr>
                      <w:rFonts w:ascii="仿宋_GB2312" w:hAnsi="仿宋_GB2312" w:cs="仿宋_GB2312" w:eastAsia="仿宋_GB2312"/>
                      <w:sz w:val="24"/>
                      <w:color w:val="0A82E5"/>
                      <w:u w:val="single"/>
                      <w:shd w:fill="FFFFFF" w:val="clear"/>
                    </w:rPr>
                    <w:t>合同签订后</w:t>
                  </w:r>
                  <w:r>
                    <w:rPr>
                      <w:rFonts w:ascii="仿宋_GB2312" w:hAnsi="仿宋_GB2312" w:cs="仿宋_GB2312" w:eastAsia="仿宋_GB2312"/>
                      <w:sz w:val="24"/>
                      <w:color w:val="0A82E5"/>
                      <w:u w:val="single"/>
                      <w:shd w:fill="FFFFFF" w:val="clear"/>
                    </w:rPr>
                    <w:t>6个月内，中标人将经营权出让价款一次性转账支付至采购人指定银行账户。</w:t>
                  </w:r>
                </w:p>
              </w:tc>
            </w:tr>
            <w:tr>
              <w:tc>
                <w:tcPr>
                  <w:tcW w:type="dxa" w:w="2227"/>
                  <w:tcBorders>
                    <w:top w:val="none" w:color="000000" w:sz="4"/>
                    <w:left w:val="single" w:color="333333" w:sz="4"/>
                    <w:bottom w:val="single" w:color="333333" w:sz="4"/>
                    <w:right w:val="single" w:color="333333" w:sz="4"/>
                  </w:tcBorders>
                  <w:tcMar>
                    <w:top w:type="dxa" w:w="75"/>
                    <w:left w:type="dxa" w:w="135"/>
                    <w:bottom w:type="dxa" w:w="75"/>
                    <w:right w:type="dxa" w:w="135"/>
                  </w:tcMar>
                  <w:vAlign w:val="top"/>
                </w:tcPr>
                <w:p>
                  <w:pPr>
                    <w:pStyle w:val="null3"/>
                    <w:jc w:val="left"/>
                  </w:pPr>
                  <w:r>
                    <w:rPr>
                      <w:rFonts w:ascii="仿宋_GB2312" w:hAnsi="仿宋_GB2312" w:cs="仿宋_GB2312" w:eastAsia="仿宋_GB2312"/>
                      <w:sz w:val="24"/>
                      <w:color w:val="0A82E5"/>
                      <w:u w:val="single"/>
                      <w:shd w:fill="FFFFFF" w:val="clear"/>
                    </w:rPr>
                    <w:t>三、评估对象和评估范围</w:t>
                  </w:r>
                </w:p>
                <w:p>
                  <w:pPr>
                    <w:pStyle w:val="null3"/>
                    <w:ind w:firstLine="480"/>
                    <w:jc w:val="left"/>
                  </w:pPr>
                  <w:r>
                    <w:rPr>
                      <w:rFonts w:ascii="仿宋_GB2312" w:hAnsi="仿宋_GB2312" w:cs="仿宋_GB2312" w:eastAsia="仿宋_GB2312"/>
                      <w:sz w:val="24"/>
                      <w:color w:val="0A82E5"/>
                      <w:u w:val="single"/>
                      <w:shd w:fill="FFFFFF" w:val="clear"/>
                    </w:rPr>
                    <w:t>根据本次评估目的，本次评估对象为西安国家民用航天产业基地管理委员会申报的航天基地区域内</w:t>
                  </w:r>
                  <w:r>
                    <w:rPr>
                      <w:rFonts w:ascii="仿宋_GB2312" w:hAnsi="仿宋_GB2312" w:cs="仿宋_GB2312" w:eastAsia="仿宋_GB2312"/>
                      <w:sz w:val="24"/>
                      <w:color w:val="0A82E5"/>
                      <w:u w:val="single"/>
                      <w:shd w:fill="FFFFFF" w:val="clear"/>
                    </w:rPr>
                    <w:t>11,436.00个停车位未来30年经营权价值。评估范围为与评估对象相关的西安国家民用航天产业基地管理委员会申报的航天基地区域内11,436.00个停车位未来30年经营权。停车位具体分布情况如下：</w:t>
                  </w:r>
                </w:p>
                <w:tbl>
                  <w:tblPr>
                    <w:tblInd w:type="dxa" w:w="30"/>
                    <w:tblBorders>
                      <w:top w:val="none" w:color="000000" w:sz="4"/>
                      <w:left w:val="none" w:color="000000" w:sz="4"/>
                      <w:bottom w:val="none" w:color="000000" w:sz="4"/>
                      <w:right w:val="none" w:color="000000" w:sz="4"/>
                      <w:insideH w:val="none"/>
                      <w:insideV w:val="none"/>
                    </w:tblBorders>
                  </w:tblPr>
                  <w:tblGrid>
                    <w:gridCol w:w="119"/>
                    <w:gridCol w:w="406"/>
                    <w:gridCol w:w="362"/>
                    <w:gridCol w:w="372"/>
                    <w:gridCol w:w="376"/>
                    <w:gridCol w:w="359"/>
                  </w:tblGrid>
                  <w:tr>
                    <w:tc>
                      <w:tcPr>
                        <w:tcW w:type="dxa" w:w="1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
                          <w:jc w:val="both"/>
                        </w:pPr>
                        <w:r>
                          <w:rPr>
                            <w:rFonts w:ascii="仿宋_GB2312" w:hAnsi="仿宋_GB2312" w:cs="仿宋_GB2312" w:eastAsia="仿宋_GB2312"/>
                            <w:sz w:val="18"/>
                            <w:b/>
                            <w:color w:val="0070C0"/>
                          </w:rPr>
                          <w:t>序号</w:t>
                        </w:r>
                      </w:p>
                    </w:tc>
                    <w:tc>
                      <w:tcPr>
                        <w:tcW w:type="dxa" w:w="4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jc w:val="both"/>
                        </w:pPr>
                        <w:r>
                          <w:rPr>
                            <w:rFonts w:ascii="仿宋_GB2312" w:hAnsi="仿宋_GB2312" w:cs="仿宋_GB2312" w:eastAsia="仿宋_GB2312"/>
                            <w:sz w:val="19"/>
                            <w:b/>
                            <w:color w:val="0070C0"/>
                          </w:rPr>
                          <w:t>项目</w:t>
                        </w:r>
                        <w:r>
                          <w:rPr>
                            <w:rFonts w:ascii="仿宋_GB2312" w:hAnsi="仿宋_GB2312" w:cs="仿宋_GB2312" w:eastAsia="仿宋_GB2312"/>
                            <w:sz w:val="19"/>
                            <w:b/>
                            <w:color w:val="0070C0"/>
                          </w:rPr>
                          <w:t>/道路/位置名</w:t>
                        </w:r>
                      </w:p>
                      <w:p>
                        <w:pPr>
                          <w:pStyle w:val="null3"/>
                          <w:spacing w:before="15"/>
                          <w:ind w:left="810"/>
                          <w:jc w:val="both"/>
                        </w:pPr>
                        <w:r>
                          <w:rPr>
                            <w:rFonts w:ascii="仿宋_GB2312" w:hAnsi="仿宋_GB2312" w:cs="仿宋_GB2312" w:eastAsia="仿宋_GB2312"/>
                            <w:sz w:val="19"/>
                            <w:b/>
                            <w:color w:val="0070C0"/>
                          </w:rPr>
                          <w:t>称</w:t>
                        </w:r>
                      </w:p>
                    </w:tc>
                    <w:tc>
                      <w:tcPr>
                        <w:tcW w:type="dxa" w:w="36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0" w:right="330"/>
                          <w:jc w:val="both"/>
                        </w:pPr>
                        <w:r>
                          <w:rPr>
                            <w:rFonts w:ascii="仿宋_GB2312" w:hAnsi="仿宋_GB2312" w:cs="仿宋_GB2312" w:eastAsia="仿宋_GB2312"/>
                            <w:sz w:val="19"/>
                            <w:b/>
                            <w:color w:val="0070C0"/>
                          </w:rPr>
                          <w:t>地上车位</w:t>
                        </w:r>
                        <w:r>
                          <w:rPr>
                            <w:rFonts w:ascii="仿宋_GB2312" w:hAnsi="仿宋_GB2312" w:cs="仿宋_GB2312" w:eastAsia="仿宋_GB2312"/>
                            <w:sz w:val="19"/>
                            <w:b/>
                            <w:color w:val="0070C0"/>
                          </w:rPr>
                          <w:t>（个）</w:t>
                        </w:r>
                      </w:p>
                    </w:tc>
                    <w:tc>
                      <w:tcPr>
                        <w:tcW w:type="dxa" w:w="37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15"/>
                          <w:jc w:val="both"/>
                        </w:pPr>
                        <w:r>
                          <w:rPr>
                            <w:rFonts w:ascii="仿宋_GB2312" w:hAnsi="仿宋_GB2312" w:cs="仿宋_GB2312" w:eastAsia="仿宋_GB2312"/>
                            <w:sz w:val="19"/>
                            <w:b/>
                            <w:color w:val="0070C0"/>
                          </w:rPr>
                          <w:t>地下平层车位</w:t>
                        </w:r>
                      </w:p>
                      <w:p>
                        <w:pPr>
                          <w:pStyle w:val="null3"/>
                          <w:spacing w:before="15"/>
                          <w:ind w:left="630"/>
                          <w:jc w:val="both"/>
                        </w:pPr>
                        <w:r>
                          <w:rPr>
                            <w:rFonts w:ascii="仿宋_GB2312" w:hAnsi="仿宋_GB2312" w:cs="仿宋_GB2312" w:eastAsia="仿宋_GB2312"/>
                            <w:sz w:val="19"/>
                            <w:b/>
                            <w:color w:val="0070C0"/>
                          </w:rPr>
                          <w:t>（个）</w:t>
                        </w:r>
                      </w:p>
                    </w:tc>
                    <w:tc>
                      <w:tcPr>
                        <w:tcW w:type="dxa" w:w="3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30"/>
                          <w:jc w:val="both"/>
                        </w:pPr>
                        <w:r>
                          <w:rPr>
                            <w:rFonts w:ascii="仿宋_GB2312" w:hAnsi="仿宋_GB2312" w:cs="仿宋_GB2312" w:eastAsia="仿宋_GB2312"/>
                            <w:sz w:val="19"/>
                            <w:b/>
                            <w:color w:val="0070C0"/>
                          </w:rPr>
                          <w:t>地下机械车位</w:t>
                        </w:r>
                      </w:p>
                      <w:p>
                        <w:pPr>
                          <w:pStyle w:val="null3"/>
                          <w:spacing w:before="15"/>
                          <w:ind w:left="630"/>
                          <w:jc w:val="both"/>
                        </w:pPr>
                        <w:r>
                          <w:rPr>
                            <w:rFonts w:ascii="仿宋_GB2312" w:hAnsi="仿宋_GB2312" w:cs="仿宋_GB2312" w:eastAsia="仿宋_GB2312"/>
                            <w:sz w:val="19"/>
                            <w:b/>
                            <w:color w:val="0070C0"/>
                          </w:rPr>
                          <w:t>（个）</w:t>
                        </w:r>
                      </w:p>
                    </w:tc>
                    <w:tc>
                      <w:tcPr>
                        <w:tcW w:type="dxa" w:w="3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0" w:right="345"/>
                          <w:jc w:val="both"/>
                        </w:pPr>
                        <w:r>
                          <w:rPr>
                            <w:rFonts w:ascii="仿宋_GB2312" w:hAnsi="仿宋_GB2312" w:cs="仿宋_GB2312" w:eastAsia="仿宋_GB2312"/>
                            <w:sz w:val="19"/>
                            <w:b/>
                            <w:color w:val="0070C0"/>
                          </w:rPr>
                          <w:t>车位总数</w:t>
                        </w:r>
                        <w:r>
                          <w:rPr>
                            <w:rFonts w:ascii="仿宋_GB2312" w:hAnsi="仿宋_GB2312" w:cs="仿宋_GB2312" w:eastAsia="仿宋_GB2312"/>
                            <w:sz w:val="19"/>
                            <w:b/>
                            <w:color w:val="0070C0"/>
                          </w:rPr>
                          <w:t>（个）</w:t>
                        </w:r>
                      </w:p>
                    </w:tc>
                  </w:tr>
                  <w:tr>
                    <w:tc>
                      <w:tcPr>
                        <w:tcW w:type="dxa" w:w="1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240"/>
                        </w:pPr>
                        <w:r>
                          <w:rPr>
                            <w:rFonts w:ascii="仿宋_GB2312" w:hAnsi="仿宋_GB2312" w:cs="仿宋_GB2312" w:eastAsia="仿宋_GB2312"/>
                            <w:sz w:val="18"/>
                            <w:b/>
                            <w:color w:val="0070C0"/>
                          </w:rPr>
                          <w:t>1</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810" w:right="120"/>
                          <w:jc w:val="both"/>
                        </w:pPr>
                        <w:r>
                          <w:rPr>
                            <w:rFonts w:ascii="仿宋_GB2312" w:hAnsi="仿宋_GB2312" w:cs="仿宋_GB2312" w:eastAsia="仿宋_GB2312"/>
                            <w:sz w:val="19"/>
                            <w:b/>
                            <w:color w:val="0070C0"/>
                          </w:rPr>
                          <w:t>西兆余点位停车场</w:t>
                        </w:r>
                        <w:r>
                          <w:rPr>
                            <w:rFonts w:ascii="仿宋_GB2312" w:hAnsi="仿宋_GB2312" w:cs="仿宋_GB2312" w:eastAsia="仿宋_GB2312"/>
                            <w:sz w:val="19"/>
                            <w:b/>
                            <w:color w:val="0070C0"/>
                          </w:rPr>
                          <w:t>地</w:t>
                        </w:r>
                      </w:p>
                    </w:tc>
                    <w:tc>
                      <w:tcPr>
                        <w:tcW w:type="dxa" w:w="3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510"/>
                        </w:pPr>
                        <w:r>
                          <w:rPr>
                            <w:rFonts w:ascii="仿宋_GB2312" w:hAnsi="仿宋_GB2312" w:cs="仿宋_GB2312" w:eastAsia="仿宋_GB2312"/>
                            <w:sz w:val="19"/>
                            <w:b/>
                            <w:color w:val="0070C0"/>
                          </w:rPr>
                          <w:t>55.00</w:t>
                        </w: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660"/>
                        </w:pPr>
                        <w:r>
                          <w:rPr>
                            <w:rFonts w:ascii="仿宋_GB2312" w:hAnsi="仿宋_GB2312" w:cs="仿宋_GB2312" w:eastAsia="仿宋_GB2312"/>
                            <w:sz w:val="19"/>
                            <w:b/>
                            <w:color w:val="0070C0"/>
                          </w:rPr>
                          <w:t>164.00</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b/>
                            <w:color w:val="0070C0"/>
                          </w:rPr>
                          <w:t>219.00</w:t>
                        </w:r>
                      </w:p>
                    </w:tc>
                  </w:tr>
                  <w:tr>
                    <w:tc>
                      <w:tcPr>
                        <w:tcW w:type="dxa" w:w="1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225"/>
                        </w:pPr>
                        <w:r>
                          <w:rPr>
                            <w:rFonts w:ascii="仿宋_GB2312" w:hAnsi="仿宋_GB2312" w:cs="仿宋_GB2312" w:eastAsia="仿宋_GB2312"/>
                            <w:sz w:val="18"/>
                            <w:b/>
                            <w:color w:val="0070C0"/>
                          </w:rPr>
                          <w:t>2</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810" w:right="120"/>
                          <w:jc w:val="both"/>
                        </w:pPr>
                        <w:r>
                          <w:rPr>
                            <w:rFonts w:ascii="仿宋_GB2312" w:hAnsi="仿宋_GB2312" w:cs="仿宋_GB2312" w:eastAsia="仿宋_GB2312"/>
                            <w:sz w:val="19"/>
                            <w:b/>
                            <w:color w:val="0070C0"/>
                          </w:rPr>
                          <w:t>东兆余点位停车场</w:t>
                        </w:r>
                        <w:r>
                          <w:rPr>
                            <w:rFonts w:ascii="仿宋_GB2312" w:hAnsi="仿宋_GB2312" w:cs="仿宋_GB2312" w:eastAsia="仿宋_GB2312"/>
                            <w:sz w:val="19"/>
                            <w:b/>
                            <w:color w:val="0070C0"/>
                          </w:rPr>
                          <w:t>地</w:t>
                        </w:r>
                      </w:p>
                    </w:tc>
                    <w:tc>
                      <w:tcPr>
                        <w:tcW w:type="dxa" w:w="3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525"/>
                        </w:pPr>
                        <w:r>
                          <w:rPr>
                            <w:rFonts w:ascii="仿宋_GB2312" w:hAnsi="仿宋_GB2312" w:cs="仿宋_GB2312" w:eastAsia="仿宋_GB2312"/>
                            <w:sz w:val="19"/>
                            <w:b/>
                            <w:color w:val="0070C0"/>
                          </w:rPr>
                          <w:t>15.00</w:t>
                        </w: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570"/>
                        </w:pPr>
                        <w:r>
                          <w:rPr>
                            <w:rFonts w:ascii="仿宋_GB2312" w:hAnsi="仿宋_GB2312" w:cs="仿宋_GB2312" w:eastAsia="仿宋_GB2312"/>
                            <w:sz w:val="19"/>
                            <w:b/>
                            <w:color w:val="0070C0"/>
                          </w:rPr>
                          <w:t>3,975.00</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b/>
                            <w:color w:val="0070C0"/>
                          </w:rPr>
                          <w:t>3,990.00</w:t>
                        </w:r>
                      </w:p>
                    </w:tc>
                  </w:tr>
                  <w:tr>
                    <w:tc>
                      <w:tcPr>
                        <w:tcW w:type="dxa" w:w="1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25"/>
                        </w:pPr>
                        <w:r>
                          <w:rPr>
                            <w:rFonts w:ascii="仿宋_GB2312" w:hAnsi="仿宋_GB2312" w:cs="仿宋_GB2312" w:eastAsia="仿宋_GB2312"/>
                            <w:sz w:val="18"/>
                            <w:b/>
                            <w:color w:val="0070C0"/>
                          </w:rPr>
                          <w:t>3</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20"/>
                          <w:jc w:val="both"/>
                        </w:pPr>
                        <w:r>
                          <w:rPr>
                            <w:rFonts w:ascii="仿宋_GB2312" w:hAnsi="仿宋_GB2312" w:cs="仿宋_GB2312" w:eastAsia="仿宋_GB2312"/>
                            <w:sz w:val="19"/>
                            <w:b/>
                            <w:color w:val="0070C0"/>
                          </w:rPr>
                          <w:t>西曹点位停车场地</w:t>
                        </w:r>
                      </w:p>
                    </w:tc>
                    <w:tc>
                      <w:tcPr>
                        <w:tcW w:type="dxa" w:w="3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705"/>
                        </w:pPr>
                        <w:r>
                          <w:rPr>
                            <w:rFonts w:ascii="仿宋_GB2312" w:hAnsi="仿宋_GB2312" w:cs="仿宋_GB2312" w:eastAsia="仿宋_GB2312"/>
                            <w:sz w:val="19"/>
                            <w:b/>
                            <w:color w:val="0070C0"/>
                          </w:rPr>
                          <w:t>-</w:t>
                        </w: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585"/>
                        </w:pPr>
                        <w:r>
                          <w:rPr>
                            <w:rFonts w:ascii="仿宋_GB2312" w:hAnsi="仿宋_GB2312" w:cs="仿宋_GB2312" w:eastAsia="仿宋_GB2312"/>
                            <w:sz w:val="19"/>
                            <w:b/>
                            <w:color w:val="0070C0"/>
                          </w:rPr>
                          <w:t>1,236.00</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b/>
                            <w:color w:val="0070C0"/>
                          </w:rPr>
                          <w:t>1,236.00</w:t>
                        </w:r>
                      </w:p>
                    </w:tc>
                  </w:tr>
                  <w:tr>
                    <w:tc>
                      <w:tcPr>
                        <w:tcW w:type="dxa" w:w="1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25"/>
                        </w:pPr>
                        <w:r>
                          <w:rPr>
                            <w:rFonts w:ascii="仿宋_GB2312" w:hAnsi="仿宋_GB2312" w:cs="仿宋_GB2312" w:eastAsia="仿宋_GB2312"/>
                            <w:sz w:val="18"/>
                            <w:b/>
                            <w:color w:val="0070C0"/>
                          </w:rPr>
                          <w:t>4</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both"/>
                        </w:pPr>
                        <w:r>
                          <w:rPr>
                            <w:rFonts w:ascii="仿宋_GB2312" w:hAnsi="仿宋_GB2312" w:cs="仿宋_GB2312" w:eastAsia="仿宋_GB2312"/>
                            <w:sz w:val="19"/>
                            <w:b/>
                            <w:color w:val="0070C0"/>
                          </w:rPr>
                          <w:t>蕉村点位停车场地</w:t>
                        </w:r>
                      </w:p>
                    </w:tc>
                    <w:tc>
                      <w:tcPr>
                        <w:tcW w:type="dxa" w:w="3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465"/>
                        </w:pPr>
                        <w:r>
                          <w:rPr>
                            <w:rFonts w:ascii="仿宋_GB2312" w:hAnsi="仿宋_GB2312" w:cs="仿宋_GB2312" w:eastAsia="仿宋_GB2312"/>
                            <w:sz w:val="19"/>
                            <w:b/>
                            <w:color w:val="0070C0"/>
                          </w:rPr>
                          <w:t>334.00</w:t>
                        </w: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b/>
                            <w:color w:val="0070C0"/>
                          </w:rPr>
                          <w:t>1,063.00</w:t>
                        </w:r>
                      </w:p>
                    </w:tc>
                    <w:tc>
                      <w:tcPr>
                        <w:tcW w:type="dxa" w:w="3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420"/>
                        </w:pPr>
                        <w:r>
                          <w:rPr>
                            <w:rFonts w:ascii="仿宋_GB2312" w:hAnsi="仿宋_GB2312" w:cs="仿宋_GB2312" w:eastAsia="仿宋_GB2312"/>
                            <w:sz w:val="19"/>
                            <w:b/>
                            <w:color w:val="0070C0"/>
                          </w:rPr>
                          <w:t>1,397.00</w:t>
                        </w:r>
                      </w:p>
                    </w:tc>
                  </w:tr>
                  <w:tr>
                    <w:tc>
                      <w:tcPr>
                        <w:tcW w:type="dxa" w:w="1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225"/>
                        </w:pPr>
                        <w:r>
                          <w:rPr>
                            <w:rFonts w:ascii="仿宋_GB2312" w:hAnsi="仿宋_GB2312" w:cs="仿宋_GB2312" w:eastAsia="仿宋_GB2312"/>
                            <w:sz w:val="18"/>
                            <w:b/>
                            <w:color w:val="0070C0"/>
                          </w:rPr>
                          <w:t>5</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810" w:right="120"/>
                          <w:jc w:val="both"/>
                        </w:pPr>
                        <w:r>
                          <w:rPr>
                            <w:rFonts w:ascii="仿宋_GB2312" w:hAnsi="仿宋_GB2312" w:cs="仿宋_GB2312" w:eastAsia="仿宋_GB2312"/>
                            <w:sz w:val="19"/>
                            <w:b/>
                            <w:color w:val="0070C0"/>
                          </w:rPr>
                          <w:t>高望堆点位停车场</w:t>
                        </w:r>
                        <w:r>
                          <w:rPr>
                            <w:rFonts w:ascii="仿宋_GB2312" w:hAnsi="仿宋_GB2312" w:cs="仿宋_GB2312" w:eastAsia="仿宋_GB2312"/>
                            <w:sz w:val="19"/>
                            <w:b/>
                            <w:color w:val="0070C0"/>
                          </w:rPr>
                          <w:t>地</w:t>
                        </w:r>
                      </w:p>
                    </w:tc>
                    <w:tc>
                      <w:tcPr>
                        <w:tcW w:type="dxa" w:w="3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465"/>
                        </w:pPr>
                        <w:r>
                          <w:rPr>
                            <w:rFonts w:ascii="仿宋_GB2312" w:hAnsi="仿宋_GB2312" w:cs="仿宋_GB2312" w:eastAsia="仿宋_GB2312"/>
                            <w:sz w:val="19"/>
                            <w:b/>
                            <w:color w:val="0070C0"/>
                          </w:rPr>
                          <w:t>638.00</w:t>
                        </w: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b/>
                            <w:color w:val="0070C0"/>
                          </w:rPr>
                          <w:t>571.00</w:t>
                        </w:r>
                      </w:p>
                    </w:tc>
                    <w:tc>
                      <w:tcPr>
                        <w:tcW w:type="dxa" w:w="3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420"/>
                        </w:pPr>
                        <w:r>
                          <w:rPr>
                            <w:rFonts w:ascii="仿宋_GB2312" w:hAnsi="仿宋_GB2312" w:cs="仿宋_GB2312" w:eastAsia="仿宋_GB2312"/>
                            <w:sz w:val="19"/>
                            <w:b/>
                            <w:color w:val="0070C0"/>
                          </w:rPr>
                          <w:t>1,209.00</w:t>
                        </w:r>
                      </w:p>
                    </w:tc>
                  </w:tr>
                  <w:tr>
                    <w:tc>
                      <w:tcPr>
                        <w:tcW w:type="dxa" w:w="1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25"/>
                        </w:pPr>
                        <w:r>
                          <w:rPr>
                            <w:rFonts w:ascii="仿宋_GB2312" w:hAnsi="仿宋_GB2312" w:cs="仿宋_GB2312" w:eastAsia="仿宋_GB2312"/>
                            <w:sz w:val="18"/>
                            <w:b/>
                            <w:color w:val="0070C0"/>
                          </w:rPr>
                          <w:t>6</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jc w:val="both"/>
                        </w:pPr>
                        <w:r>
                          <w:rPr>
                            <w:rFonts w:ascii="仿宋_GB2312" w:hAnsi="仿宋_GB2312" w:cs="仿宋_GB2312" w:eastAsia="仿宋_GB2312"/>
                            <w:sz w:val="19"/>
                            <w:b/>
                            <w:color w:val="0070C0"/>
                          </w:rPr>
                          <w:t>羊村点位停车场地</w:t>
                        </w:r>
                      </w:p>
                    </w:tc>
                    <w:tc>
                      <w:tcPr>
                        <w:tcW w:type="dxa" w:w="3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465"/>
                        </w:pPr>
                        <w:r>
                          <w:rPr>
                            <w:rFonts w:ascii="仿宋_GB2312" w:hAnsi="仿宋_GB2312" w:cs="仿宋_GB2312" w:eastAsia="仿宋_GB2312"/>
                            <w:sz w:val="19"/>
                            <w:b/>
                            <w:color w:val="0070C0"/>
                          </w:rPr>
                          <w:t>318.00</w:t>
                        </w: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b/>
                            <w:color w:val="0070C0"/>
                          </w:rPr>
                          <w:t>485.00</w:t>
                        </w:r>
                      </w:p>
                    </w:tc>
                    <w:tc>
                      <w:tcPr>
                        <w:tcW w:type="dxa" w:w="3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480"/>
                        </w:pPr>
                        <w:r>
                          <w:rPr>
                            <w:rFonts w:ascii="仿宋_GB2312" w:hAnsi="仿宋_GB2312" w:cs="仿宋_GB2312" w:eastAsia="仿宋_GB2312"/>
                            <w:sz w:val="19"/>
                            <w:b/>
                            <w:color w:val="0070C0"/>
                          </w:rPr>
                          <w:t>803.00</w:t>
                        </w:r>
                      </w:p>
                    </w:tc>
                  </w:tr>
                  <w:tr>
                    <w:tc>
                      <w:tcPr>
                        <w:tcW w:type="dxa" w:w="1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225"/>
                        </w:pPr>
                        <w:r>
                          <w:rPr>
                            <w:rFonts w:ascii="仿宋_GB2312" w:hAnsi="仿宋_GB2312" w:cs="仿宋_GB2312" w:eastAsia="仿宋_GB2312"/>
                            <w:sz w:val="18"/>
                            <w:b/>
                            <w:color w:val="0070C0"/>
                          </w:rPr>
                          <w:t>7</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jc w:val="both"/>
                        </w:pPr>
                        <w:r>
                          <w:rPr>
                            <w:rFonts w:ascii="仿宋_GB2312" w:hAnsi="仿宋_GB2312" w:cs="仿宋_GB2312" w:eastAsia="仿宋_GB2312"/>
                            <w:sz w:val="19"/>
                            <w:b/>
                            <w:color w:val="0070C0"/>
                          </w:rPr>
                          <w:t>韩家湾点位停车场</w:t>
                        </w:r>
                      </w:p>
                      <w:p>
                        <w:pPr>
                          <w:pStyle w:val="null3"/>
                          <w:spacing w:before="30"/>
                          <w:ind w:left="810"/>
                          <w:jc w:val="both"/>
                        </w:pPr>
                        <w:r>
                          <w:rPr>
                            <w:rFonts w:ascii="仿宋_GB2312" w:hAnsi="仿宋_GB2312" w:cs="仿宋_GB2312" w:eastAsia="仿宋_GB2312"/>
                            <w:sz w:val="19"/>
                            <w:b/>
                            <w:color w:val="0070C0"/>
                          </w:rPr>
                          <w:t>地</w:t>
                        </w:r>
                      </w:p>
                    </w:tc>
                    <w:tc>
                      <w:tcPr>
                        <w:tcW w:type="dxa" w:w="3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510"/>
                        </w:pPr>
                        <w:r>
                          <w:rPr>
                            <w:rFonts w:ascii="仿宋_GB2312" w:hAnsi="仿宋_GB2312" w:cs="仿宋_GB2312" w:eastAsia="仿宋_GB2312"/>
                            <w:sz w:val="19"/>
                            <w:b/>
                            <w:color w:val="0070C0"/>
                          </w:rPr>
                          <w:t>80.00</w:t>
                        </w: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585"/>
                        </w:pPr>
                        <w:r>
                          <w:rPr>
                            <w:rFonts w:ascii="仿宋_GB2312" w:hAnsi="仿宋_GB2312" w:cs="仿宋_GB2312" w:eastAsia="仿宋_GB2312"/>
                            <w:sz w:val="19"/>
                            <w:b/>
                            <w:color w:val="0070C0"/>
                          </w:rPr>
                          <w:t>1,087.00</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b/>
                            <w:color w:val="0070C0"/>
                          </w:rPr>
                          <w:t>1,</w:t>
                        </w:r>
                        <w:r>
                          <w:rPr>
                            <w:rFonts w:ascii="仿宋_GB2312" w:hAnsi="仿宋_GB2312" w:cs="仿宋_GB2312" w:eastAsia="仿宋_GB2312"/>
                            <w:sz w:val="19"/>
                            <w:b/>
                          </w:rPr>
                          <w:t xml:space="preserve"> </w:t>
                        </w:r>
                        <w:r>
                          <w:rPr>
                            <w:rFonts w:ascii="仿宋_GB2312" w:hAnsi="仿宋_GB2312" w:cs="仿宋_GB2312" w:eastAsia="仿宋_GB2312"/>
                            <w:sz w:val="19"/>
                            <w:b/>
                            <w:color w:val="0070C0"/>
                          </w:rPr>
                          <w:t>167.00</w:t>
                        </w:r>
                      </w:p>
                    </w:tc>
                  </w:tr>
                  <w:tr>
                    <w:tc>
                      <w:tcPr>
                        <w:tcW w:type="dxa" w:w="1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25"/>
                        </w:pPr>
                        <w:r>
                          <w:rPr>
                            <w:rFonts w:ascii="仿宋_GB2312" w:hAnsi="仿宋_GB2312" w:cs="仿宋_GB2312" w:eastAsia="仿宋_GB2312"/>
                            <w:sz w:val="18"/>
                            <w:b/>
                            <w:color w:val="0070C0"/>
                          </w:rPr>
                          <w:t>8</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jc w:val="both"/>
                        </w:pPr>
                        <w:r>
                          <w:rPr>
                            <w:rFonts w:ascii="仿宋_GB2312" w:hAnsi="仿宋_GB2312" w:cs="仿宋_GB2312" w:eastAsia="仿宋_GB2312"/>
                            <w:sz w:val="19"/>
                            <w:b/>
                            <w:color w:val="0070C0"/>
                          </w:rPr>
                          <w:t>栲栳点位停车场地</w:t>
                        </w:r>
                      </w:p>
                    </w:tc>
                    <w:tc>
                      <w:tcPr>
                        <w:tcW w:type="dxa" w:w="3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555"/>
                        </w:pPr>
                        <w:r>
                          <w:rPr>
                            <w:rFonts w:ascii="仿宋_GB2312" w:hAnsi="仿宋_GB2312" w:cs="仿宋_GB2312" w:eastAsia="仿宋_GB2312"/>
                            <w:sz w:val="19"/>
                            <w:b/>
                            <w:color w:val="0070C0"/>
                          </w:rPr>
                          <w:t>7.00</w:t>
                        </w: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585"/>
                        </w:pPr>
                        <w:r>
                          <w:rPr>
                            <w:rFonts w:ascii="仿宋_GB2312" w:hAnsi="仿宋_GB2312" w:cs="仿宋_GB2312" w:eastAsia="仿宋_GB2312"/>
                            <w:sz w:val="19"/>
                            <w:b/>
                            <w:color w:val="0070C0"/>
                          </w:rPr>
                          <w:t>1,</w:t>
                        </w:r>
                        <w:r>
                          <w:rPr>
                            <w:rFonts w:ascii="仿宋_GB2312" w:hAnsi="仿宋_GB2312" w:cs="仿宋_GB2312" w:eastAsia="仿宋_GB2312"/>
                            <w:sz w:val="19"/>
                            <w:b/>
                          </w:rPr>
                          <w:t xml:space="preserve"> </w:t>
                        </w:r>
                        <w:r>
                          <w:rPr>
                            <w:rFonts w:ascii="仿宋_GB2312" w:hAnsi="仿宋_GB2312" w:cs="仿宋_GB2312" w:eastAsia="仿宋_GB2312"/>
                            <w:sz w:val="19"/>
                            <w:b/>
                            <w:color w:val="0070C0"/>
                          </w:rPr>
                          <w:t>137.00</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660"/>
                        </w:pPr>
                        <w:r>
                          <w:rPr>
                            <w:rFonts w:ascii="仿宋_GB2312" w:hAnsi="仿宋_GB2312" w:cs="仿宋_GB2312" w:eastAsia="仿宋_GB2312"/>
                            <w:sz w:val="19"/>
                            <w:b/>
                            <w:color w:val="0070C0"/>
                          </w:rPr>
                          <w:t>194.00</w:t>
                        </w:r>
                      </w:p>
                    </w:tc>
                    <w:tc>
                      <w:tcPr>
                        <w:tcW w:type="dxa" w:w="3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420"/>
                        </w:pPr>
                        <w:r>
                          <w:rPr>
                            <w:rFonts w:ascii="仿宋_GB2312" w:hAnsi="仿宋_GB2312" w:cs="仿宋_GB2312" w:eastAsia="仿宋_GB2312"/>
                            <w:sz w:val="19"/>
                            <w:b/>
                            <w:color w:val="0070C0"/>
                          </w:rPr>
                          <w:t>1,338.00</w:t>
                        </w:r>
                      </w:p>
                    </w:tc>
                  </w:tr>
                  <w:tr>
                    <w:tc>
                      <w:tcPr>
                        <w:tcW w:type="dxa" w:w="1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225"/>
                        </w:pPr>
                        <w:r>
                          <w:rPr>
                            <w:rFonts w:ascii="仿宋_GB2312" w:hAnsi="仿宋_GB2312" w:cs="仿宋_GB2312" w:eastAsia="仿宋_GB2312"/>
                            <w:sz w:val="18"/>
                            <w:b/>
                            <w:color w:val="0070C0"/>
                          </w:rPr>
                          <w:t>9</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jc w:val="both"/>
                        </w:pPr>
                        <w:r>
                          <w:rPr>
                            <w:rFonts w:ascii="仿宋_GB2312" w:hAnsi="仿宋_GB2312" w:cs="仿宋_GB2312" w:eastAsia="仿宋_GB2312"/>
                            <w:sz w:val="19"/>
                            <w:b/>
                            <w:color w:val="0070C0"/>
                          </w:rPr>
                          <w:t>枣园点位停车场地</w:t>
                        </w:r>
                      </w:p>
                    </w:tc>
                    <w:tc>
                      <w:tcPr>
                        <w:tcW w:type="dxa" w:w="3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510"/>
                        </w:pPr>
                        <w:r>
                          <w:rPr>
                            <w:rFonts w:ascii="仿宋_GB2312" w:hAnsi="仿宋_GB2312" w:cs="仿宋_GB2312" w:eastAsia="仿宋_GB2312"/>
                            <w:sz w:val="19"/>
                            <w:b/>
                            <w:color w:val="0070C0"/>
                          </w:rPr>
                          <w:t>22.00</w:t>
                        </w: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705"/>
                        </w:pPr>
                        <w:r>
                          <w:rPr>
                            <w:rFonts w:ascii="仿宋_GB2312" w:hAnsi="仿宋_GB2312" w:cs="仿宋_GB2312" w:eastAsia="仿宋_GB2312"/>
                            <w:sz w:val="19"/>
                            <w:b/>
                            <w:color w:val="0070C0"/>
                          </w:rPr>
                          <w:t>55.00</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b/>
                            <w:color w:val="0070C0"/>
                          </w:rPr>
                          <w:t>77.00</w:t>
                        </w:r>
                      </w:p>
                    </w:tc>
                  </w:tr>
                  <w:tr>
                    <w:tc>
                      <w:tcPr>
                        <w:tcW w:type="dxa" w:w="1635"/>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3435"/>
                          <w:jc w:val="both"/>
                        </w:pPr>
                        <w:r>
                          <w:rPr>
                            <w:rFonts w:ascii="仿宋_GB2312" w:hAnsi="仿宋_GB2312" w:cs="仿宋_GB2312" w:eastAsia="仿宋_GB2312"/>
                            <w:sz w:val="19"/>
                            <w:b/>
                            <w:color w:val="0070C0"/>
                          </w:rPr>
                          <w:t>合</w:t>
                        </w:r>
                        <w:r>
                          <w:rPr>
                            <w:rFonts w:ascii="仿宋_GB2312" w:hAnsi="仿宋_GB2312" w:cs="仿宋_GB2312" w:eastAsia="仿宋_GB2312"/>
                            <w:sz w:val="21"/>
                            <w:b/>
                          </w:rPr>
                          <w:t xml:space="preserve">   </w:t>
                        </w:r>
                        <w:r>
                          <w:rPr>
                            <w:rFonts w:ascii="仿宋_GB2312" w:hAnsi="仿宋_GB2312" w:cs="仿宋_GB2312" w:eastAsia="仿宋_GB2312"/>
                            <w:sz w:val="19"/>
                            <w:b/>
                            <w:color w:val="0070C0"/>
                          </w:rPr>
                          <w:t>计</w:t>
                        </w:r>
                      </w:p>
                    </w:tc>
                    <w:tc>
                      <w:tcPr>
                        <w:tcW w:type="dxa" w:w="3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360"/>
                        </w:pPr>
                        <w:r>
                          <w:rPr>
                            <w:rFonts w:ascii="仿宋_GB2312" w:hAnsi="仿宋_GB2312" w:cs="仿宋_GB2312" w:eastAsia="仿宋_GB2312"/>
                            <w:sz w:val="19"/>
                            <w:b/>
                            <w:color w:val="0070C0"/>
                          </w:rPr>
                          <w:t>11,436.00</w:t>
                        </w:r>
                      </w:p>
                    </w:tc>
                  </w:tr>
                </w:tbl>
                <w:p>
                  <w:pPr>
                    <w:pStyle w:val="null3"/>
                    <w:jc w:val="left"/>
                  </w:pP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针对本项目提供所需要的专业服务人员团队。</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针对本项目提供所需要的专业设备。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服务标准：按照国家相关标准、行业标准、地方标准或者其他标准、规范标准执行。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合作期限30年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合同签订后6个月内，乙方将经营权出让价款一次性转账支付至甲方指定银行账户。</w:t>
      </w:r>
      <w:r>
        <w:rPr>
          <w:rFonts w:ascii="仿宋_GB2312" w:hAnsi="仿宋_GB2312" w:cs="仿宋_GB2312" w:eastAsia="仿宋_GB2312"/>
        </w:rPr>
        <w:t xml:space="preserve"> ，达到付款条件起 </w:t>
      </w:r>
      <w:r>
        <w:rPr>
          <w:rFonts w:ascii="仿宋_GB2312" w:hAnsi="仿宋_GB2312" w:cs="仿宋_GB2312" w:eastAsia="仿宋_GB2312"/>
        </w:rPr>
        <w:t>3</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本项目非专门面向中小企业采购，符合招标文件规定的小微企业、监狱企业、残疾人福利企业优惠条件的供应商，价格给予10%的扣除，用扣除后的投标报价参与评审。 1、落实的政府采购政策： （1）《政府采购促进中小企业发展管理办法》（财库〔2020〕46号）； （2）《财政部司法部关于政府采购支持监狱企业发展有关问题的通知》（财库〔2014〕68号）； （3）《国务院办公厅关于建立政府强制采购节能产品制度的通知》（国发办〔2007〕51号）； （4）《三部门联合发布关于促进残疾人就业政府采购政策的通知》（财库〔2017〕141号）； （5）《财政部发展改革委生态环境部市场监管总局关于调整优化节能产品、环境标志产品政府采购执行机制的通知》（财库〔2019〕9号）； （6）陕西省财政厅关于印发《陕西省中小企业政府采购信用融资办法》（陕财办采〔2018〕23号）； （7）《财政部农业农村部国家乡村振兴局关于运用政府采购政策支持乡村产业振兴的通知》（财库〔2021〕19号）； （8）《财政部农业农村部国家 乡村振兴局 中华全国供销合作总社关于印发&lt;关于深入开展政府采购脱贫地区农副产品工作推进乡村产业振兴的实施意见&gt;的通知》（财库〔2021〕20号）； （9）《陕西省财政厅关于进一步加强政府绿色采购有关问题的通知》（陕财办采〔2021〕29号）； （10）陕西省财政厅《关于加快推进我省中小企业政府采购信用融资工作的通知》（陕财办采〔2020〕15号）； （11）《关于进一步加大政府采购支持中小企业力度的通知》（财库〔2022〕19号）； （12）《财政部住房城乡建设部工业和信息化部关于扩大政府采购绿色建材促进建筑品质提升政策实施范围的通知》（财库〔2022〕35号）； （13）《财政部关于在政府采购活动中落实平等对待内外资企业有关政策的通知》（财库〔2021〕35号）； （14）其他需要落实的政府采购政策，详见招标文件。 2.本项目合同包1采购标的所属行业为：物业管理。 3.本项目属性为服务。 4.本项目是否属于信用担保试点范围：否。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 2、法定代表人授权书（附法定代表人、被授权人身份证复印件），法定代表人直接参加投标，须提供法定代表人身份证明及身份证复印件。 3、税收缴纳证明：提供投标截止日前一年内任意一个月的纳税证明或完税证明（增值税、印花税、城市维护建设费、企业所得税等一种或多种税种），依法免税的单位提供相关证明材料。 4、社会保障资金缴纳证明：提供投标截止日前一年内任意一个月的社保资金交纳证明，依法不需要缴纳社保资金的单位提供相关证明材料。 5、书面声明：参加政府采购活动前3年内，在经营活动中没有重大违法记录的书面声明。 6、承诺书：提供具有履行合同所必需的设备和专业技术能力的承诺。 7、非联合体投标：本采购包不接受联合体投标，供应商提供非联合体投标承诺书。</w:t>
            </w:r>
          </w:p>
        </w:tc>
        <w:tc>
          <w:tcPr>
            <w:tcW w:type="dxa" w:w="1661"/>
          </w:tcPr>
          <w:p>
            <w:pPr>
              <w:pStyle w:val="null3"/>
            </w:pPr>
            <w:r>
              <w:rPr>
                <w:rFonts w:ascii="仿宋_GB2312" w:hAnsi="仿宋_GB2312" w:cs="仿宋_GB2312" w:eastAsia="仿宋_GB2312"/>
              </w:rPr>
              <w:t>投标方案说明书.docx 开标一览表 投标函 中小企业声明函 残疾人福利性单位声明函 标的清单 投标文件封面 供应商承诺书.docx 商务条款偏离表.docx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营业执照或其他组织</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投标方案说明书.docx 开标一览表 投标函 中小企业声明函 残疾人福利性单位声明函 标的清单 投标文件封面 供应商承诺书.docx 商务条款偏离表.docx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依法缴纳税收证明资料</w:t>
            </w:r>
          </w:p>
        </w:tc>
        <w:tc>
          <w:tcPr>
            <w:tcW w:type="dxa" w:w="3322"/>
          </w:tcPr>
          <w:p>
            <w:pPr>
              <w:pStyle w:val="null3"/>
            </w:pPr>
            <w:r>
              <w:rPr>
                <w:rFonts w:ascii="仿宋_GB2312" w:hAnsi="仿宋_GB2312" w:cs="仿宋_GB2312" w:eastAsia="仿宋_GB2312"/>
              </w:rPr>
              <w:t>提供投标截止日前一年内任意一个月的纳税证明或完税证明（增值税、印花税、城市维护建设费、企业所得税等一种或多种税种），依法免税的单位提供相关证明材料。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依法缴纳社会保险证明资料</w:t>
            </w:r>
          </w:p>
        </w:tc>
        <w:tc>
          <w:tcPr>
            <w:tcW w:type="dxa" w:w="3322"/>
          </w:tcPr>
          <w:p>
            <w:pPr>
              <w:pStyle w:val="null3"/>
            </w:pPr>
            <w:r>
              <w:rPr>
                <w:rFonts w:ascii="仿宋_GB2312" w:hAnsi="仿宋_GB2312" w:cs="仿宋_GB2312" w:eastAsia="仿宋_GB2312"/>
              </w:rPr>
              <w:t>提供投标截止日前一年内任意一个月的社保资金交纳证明，依法不需要缴纳社保资金的单位提供相关证明材料。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本采购包不接受联合体投标，供应商提供非联合体投标承诺书。</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投标方案说明书.docx 开标一览表 投标函 中小企业声明函 残疾人福利性单位声明函 标的清单 投标文件封面 供应商承诺书.docx 商务条款偏离表.docx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投标文件上法定代表人或负责人或被授权人的盖章或签字齐全并加盖公章</w:t>
            </w:r>
          </w:p>
        </w:tc>
        <w:tc>
          <w:tcPr>
            <w:tcW w:type="dxa" w:w="1661"/>
          </w:tcPr>
          <w:p>
            <w:pPr>
              <w:pStyle w:val="null3"/>
            </w:pPr>
            <w:r>
              <w:rPr>
                <w:rFonts w:ascii="仿宋_GB2312" w:hAnsi="仿宋_GB2312" w:cs="仿宋_GB2312" w:eastAsia="仿宋_GB2312"/>
              </w:rPr>
              <w:t>投标方案说明书.docx 开标一览表 投标函 中小企业声明函 残疾人福利性单位声明函 标的清单 投标文件封面 供应商承诺书.docx 商务条款偏离表.docx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供应商承诺书.docx 商务条款偏离表.docx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供应商承诺书.docx 商务条款偏离表.docx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供应商承诺书.docx 商务条款偏离表.docx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供应商承诺书.docx 商务条款偏离表.docx 资格证明文件.docx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合作期限</w:t>
            </w:r>
          </w:p>
        </w:tc>
        <w:tc>
          <w:tcPr>
            <w:tcW w:type="dxa" w:w="3322"/>
          </w:tcPr>
          <w:p>
            <w:pPr>
              <w:pStyle w:val="null3"/>
            </w:pPr>
            <w:r>
              <w:rPr>
                <w:rFonts w:ascii="仿宋_GB2312" w:hAnsi="仿宋_GB2312" w:cs="仿宋_GB2312" w:eastAsia="仿宋_GB2312"/>
              </w:rPr>
              <w:t>应满足招标文件中要求的合作期限</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供应商承诺书.docx 商务条款偏离表.docx 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运营管理方案</w:t>
            </w:r>
          </w:p>
        </w:tc>
        <w:tc>
          <w:tcPr>
            <w:tcW w:type="dxa" w:w="2492"/>
          </w:tcPr>
          <w:p>
            <w:pPr>
              <w:pStyle w:val="null3"/>
            </w:pPr>
            <w:r>
              <w:rPr>
                <w:rFonts w:ascii="仿宋_GB2312" w:hAnsi="仿宋_GB2312" w:cs="仿宋_GB2312" w:eastAsia="仿宋_GB2312"/>
              </w:rPr>
              <w:t>一、评审内容：针对服务内容及要求提供关于 （1）车位规划与划线方案、（2）停车场收银方案、（3）停车场秩序维护方案、（4）停车场安全巡查方案。 二、评审标准： 1、完善性：方案必须全面，对评审内容中的各项要求有详细阐述； 2、可实施性：切合本项目实际情况，提出步骤清晰、合理的方案； 3、针对性：方案能够紧扣项目实际情况，内容科学合理。 上述 4 项评审内容全部满足评审标准得 20分，评审内容缺项每项扣5分，每有一项评审内容存在缺陷，根据缺陷内容，每出现一处缺陷扣0.5分，扣完为止。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一、评审内容：（1）停车场管理系统维护方案、（2）供应商自行投入的设施设备的维护管理方案、（3）其他相关服务方案，包含咨询服务、投诉处理、特殊服务、停车车区域卫生管理。 二、评审标准： 1、完善性：方案必须全面，对评审内容中的各项要求有详细阐述； 2、可实施性：切合本项目实际情况，提出步骤清晰、合理的方案； 3、针对性：方案能够紧扣项目实际情况，内容科学合理。 上述 3 项评审内容全部满足评审标准得 15分，评审内容缺项每项扣5分，每有一项评审内容存在缺陷，根据缺陷内容，每出现一处缺陷扣0.5分，扣完为止。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服务重难点分析及应对的保障措施</w:t>
            </w:r>
          </w:p>
        </w:tc>
        <w:tc>
          <w:tcPr>
            <w:tcW w:type="dxa" w:w="2492"/>
          </w:tcPr>
          <w:p>
            <w:pPr>
              <w:pStyle w:val="null3"/>
            </w:pPr>
            <w:r>
              <w:rPr>
                <w:rFonts w:ascii="仿宋_GB2312" w:hAnsi="仿宋_GB2312" w:cs="仿宋_GB2312" w:eastAsia="仿宋_GB2312"/>
              </w:rPr>
              <w:t>一、评审内容：服务重难点分析及应对的保障措施：针对服务内容及要求提供关于（1）重难点分析、（2）保障措施。 二、评审标准： 1、完善性：方案必须全面，对评审内容中的各项要求有详细阐述； 2、可实施性：切合本项目实际情况，提出步骤清晰、合理的方案； 3、针对性：方案能够紧扣项目实际情况，内容科学合理。 上述 2 项评审内容全部满足评审标准得6分，评审内容缺项每项扣3分，每有一项评审内容存在缺陷，根据缺陷内容，每出现一处缺陷扣0.5分，扣完为止。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工作进度安排</w:t>
            </w:r>
          </w:p>
        </w:tc>
        <w:tc>
          <w:tcPr>
            <w:tcW w:type="dxa" w:w="2492"/>
          </w:tcPr>
          <w:p>
            <w:pPr>
              <w:pStyle w:val="null3"/>
            </w:pPr>
            <w:r>
              <w:rPr>
                <w:rFonts w:ascii="仿宋_GB2312" w:hAnsi="仿宋_GB2312" w:cs="仿宋_GB2312" w:eastAsia="仿宋_GB2312"/>
              </w:rPr>
              <w:t>一、评审内容：针对服务内容及要求提供关于（1）工作流程、（2）工作进度及时间安排、（3）工作时效保证措施。 二、评审标准： 1、完善性：方案必须全面，对评审内容中的各项要求有详细阐述； 2、可实施性：切合本项目实际情况，提出步骤清晰、合理的方案； 3、针对性：方案能够紧扣项目实际情况，内容科学合理。 上述 3 项评审内容全部满足评审标准得 12分，评审内容缺项每项扣4分，每有一项评审内容存在缺陷，根据缺陷内容，每出现一处缺陷扣0.5分，扣完为止。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一、评审内容：针对服务内容及要求提供关于（1）人员岗位设置方案及培训方案、（2）突发应急事件人员调动方案。 二、评审标准： 1、完善性：方案必须全面，对评审内容中的各项要求有详细阐述； 2、可实施性：切合本项目实际情况，提出步骤清晰、合理的方案； 3、针对性：方案能够紧扣项目实际情况，内容科学合理。 上述 2 项评审内容全部满足评审标准得 8分，评审内容缺项每项扣4分，每有一项评审内容存在缺陷，根据缺陷内容，每出现一处缺陷扣0.5分，扣完为止。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一、评审内容：针对本项目提供相关管理制度，（1）基础责任与设施管理制度、（2）车辆进出与停放管理制度、（3）安全管理制度。 二、评审标准： 1、完善性：方案必须全面，对评审内容中的各项要求有详细阐述； 2、可实施性：切合本项目实际情况，提出步骤清晰、合理的方案； 3、针对性：方案能够紧扣项目实际情况，内容科学合理。 上述 3 项评审内容全部满足评审标准得 9分，评审内容缺项每项扣3分，每有一项评审内容存在缺陷，根据缺陷内容，每出现一处缺陷扣0.5分，扣完为止。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一、评审内容：针对服务内容及要求提供关于（1）风险预测、（2）应对措施。 二、评审标准： 1、完善性：方案必须全面，对评审内容中的各项要求有详细阐述； 2、可实施性：切合本项目实际情况，提出步骤清晰、合理的方案； 3、针对性：方案能够紧扣项目实际情况，内容科学合理。 上述 2 项评审内容全部满足评审标准得 8分，评审内容缺项每项扣4分，每有一项评审内容存在缺陷，根据缺陷内容，每出现一处缺陷扣0.5分，扣完为止。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一、评审内容：针对本项目提供服务承诺， （1）项目实施服务承诺、（2）服务质量目标承诺、（3）针对本项目提出合理化建议。 二、评审标准： 1、完善性：方案必须全面，对评审内容中的各项要求有详细阐述； 2、可实施性：切合本项目实际情况，提出步骤清晰、合理的方案； 3、针对性：方案能够紧扣项目实际情况，内容科学合理。 上述 3 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供应商提供自2023年1月1日至今类似项目业绩（需附合同复印件并加盖公章或中标通知书复印件，时间以合同签订时间或中标通知书落款时间为准），每提供一个业绩得2分，满分6分。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 ×价格分值（注：满足招标文件要求且投标价格最低的投标报价为评标基准价。）最低报价不是中标的唯一依据。因落实政府采购政策进行价格调整的， 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