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C4F76">
      <w:pPr>
        <w:pStyle w:val="5"/>
        <w:topLinePunct/>
        <w:adjustRightInd w:val="0"/>
        <w:snapToGrid w:val="0"/>
        <w:ind w:right="2080" w:rightChars="743" w:firstLine="2297" w:firstLineChars="440"/>
        <w:jc w:val="distribute"/>
        <w:rPr>
          <w:rFonts w:hint="eastAsia" w:asciiTheme="minorEastAsia" w:hAnsiTheme="minorEastAsia" w:eastAsiaTheme="minorEastAsia" w:cstheme="minorEastAsia"/>
          <w:b/>
          <w:sz w:val="52"/>
        </w:rPr>
      </w:pPr>
    </w:p>
    <w:p w14:paraId="5F514E5D">
      <w:pPr>
        <w:pStyle w:val="5"/>
        <w:topLinePunct/>
        <w:adjustRightInd w:val="0"/>
        <w:snapToGrid w:val="0"/>
        <w:ind w:right="2080" w:rightChars="743" w:firstLine="2297" w:firstLineChars="440"/>
        <w:jc w:val="distribute"/>
        <w:rPr>
          <w:rFonts w:hint="eastAsia" w:asciiTheme="minorEastAsia" w:hAnsiTheme="minorEastAsia" w:eastAsiaTheme="minorEastAsia" w:cstheme="minorEastAsia"/>
          <w:b/>
          <w:sz w:val="52"/>
        </w:rPr>
      </w:pPr>
    </w:p>
    <w:p w14:paraId="4D382039">
      <w:pPr>
        <w:pStyle w:val="5"/>
        <w:topLinePunct/>
        <w:adjustRightInd w:val="0"/>
        <w:snapToGrid w:val="0"/>
        <w:ind w:right="2080" w:rightChars="743" w:firstLine="795" w:firstLineChars="440"/>
        <w:jc w:val="distribute"/>
        <w:rPr>
          <w:rFonts w:hint="eastAsia" w:asciiTheme="minorEastAsia" w:hAnsiTheme="minorEastAsia" w:eastAsiaTheme="minorEastAsia" w:cstheme="minorEastAsia"/>
          <w:b/>
          <w:sz w:val="18"/>
        </w:rPr>
      </w:pPr>
    </w:p>
    <w:p w14:paraId="15FCC5CC">
      <w:pPr>
        <w:pStyle w:val="5"/>
        <w:topLinePunct/>
        <w:adjustRightInd w:val="0"/>
        <w:snapToGrid w:val="0"/>
        <w:ind w:right="39" w:rightChars="14" w:firstLine="0" w:firstLineChars="0"/>
        <w:rPr>
          <w:rFonts w:hint="eastAsia" w:asciiTheme="minorEastAsia" w:hAnsiTheme="minorEastAsia" w:eastAsiaTheme="minorEastAsia" w:cstheme="minorEastAsia"/>
          <w:b/>
          <w:sz w:val="48"/>
          <w:szCs w:val="22"/>
        </w:rPr>
      </w:pPr>
      <w:r>
        <w:rPr>
          <w:rFonts w:hint="eastAsia" w:asciiTheme="minorEastAsia" w:hAnsiTheme="minorEastAsia" w:eastAsiaTheme="minorEastAsia" w:cstheme="minorEastAsia"/>
          <w:b/>
          <w:sz w:val="48"/>
          <w:szCs w:val="22"/>
        </w:rPr>
        <w:t>西安航天基地停车场地经营权转让</w:t>
      </w:r>
    </w:p>
    <w:p w14:paraId="10D1D0A1">
      <w:pPr>
        <w:pStyle w:val="5"/>
        <w:topLinePunct/>
        <w:adjustRightInd w:val="0"/>
        <w:snapToGrid w:val="0"/>
        <w:ind w:right="39" w:rightChars="14" w:firstLine="0" w:firstLineChars="0"/>
        <w:rPr>
          <w:rFonts w:hint="eastAsia" w:asciiTheme="minorEastAsia" w:hAnsiTheme="minorEastAsia" w:eastAsiaTheme="minorEastAsia" w:cstheme="minorEastAsia"/>
          <w:b/>
          <w:sz w:val="52"/>
        </w:rPr>
      </w:pPr>
      <w:r>
        <w:rPr>
          <w:rFonts w:hint="eastAsia" w:asciiTheme="minorEastAsia" w:hAnsiTheme="minorEastAsia" w:eastAsiaTheme="minorEastAsia" w:cstheme="minorEastAsia"/>
          <w:b/>
          <w:sz w:val="48"/>
          <w:szCs w:val="22"/>
        </w:rPr>
        <w:t>项目</w:t>
      </w:r>
      <w:r>
        <w:rPr>
          <w:rFonts w:hint="eastAsia" w:asciiTheme="minorEastAsia" w:hAnsiTheme="minorEastAsia" w:eastAsiaTheme="minorEastAsia" w:cstheme="minorEastAsia"/>
          <w:b/>
          <w:sz w:val="52"/>
        </w:rPr>
        <w:t>合作协议</w:t>
      </w:r>
    </w:p>
    <w:p w14:paraId="5C3D5B6C">
      <w:pPr>
        <w:pStyle w:val="5"/>
        <w:topLinePunct/>
        <w:adjustRightInd w:val="0"/>
        <w:snapToGrid w:val="0"/>
        <w:ind w:firstLine="1044"/>
        <w:rPr>
          <w:rFonts w:hint="eastAsia" w:asciiTheme="minorEastAsia" w:hAnsiTheme="minorEastAsia" w:eastAsiaTheme="minorEastAsia" w:cstheme="minorEastAsia"/>
          <w:b/>
          <w:sz w:val="52"/>
        </w:rPr>
      </w:pPr>
    </w:p>
    <w:p w14:paraId="7B9A1F65">
      <w:pPr>
        <w:pStyle w:val="5"/>
        <w:topLinePunct/>
        <w:adjustRightInd w:val="0"/>
        <w:snapToGrid w:val="0"/>
        <w:ind w:firstLine="1044"/>
        <w:rPr>
          <w:rFonts w:hint="eastAsia" w:asciiTheme="minorEastAsia" w:hAnsiTheme="minorEastAsia" w:eastAsiaTheme="minorEastAsia" w:cstheme="minorEastAsia"/>
          <w:b/>
          <w:sz w:val="52"/>
        </w:rPr>
      </w:pPr>
    </w:p>
    <w:p w14:paraId="182AAA6D">
      <w:pPr>
        <w:pStyle w:val="5"/>
        <w:topLinePunct/>
        <w:adjustRightInd w:val="0"/>
        <w:snapToGrid w:val="0"/>
        <w:ind w:firstLine="1044"/>
        <w:rPr>
          <w:rFonts w:hint="eastAsia" w:asciiTheme="minorEastAsia" w:hAnsiTheme="minorEastAsia" w:eastAsiaTheme="minorEastAsia" w:cstheme="minorEastAsia"/>
          <w:b/>
          <w:sz w:val="52"/>
        </w:rPr>
      </w:pPr>
    </w:p>
    <w:p w14:paraId="13CAFFE1">
      <w:pPr>
        <w:pStyle w:val="5"/>
        <w:topLinePunct/>
        <w:adjustRightInd w:val="0"/>
        <w:snapToGrid w:val="0"/>
        <w:ind w:firstLine="1044"/>
        <w:rPr>
          <w:rFonts w:hint="eastAsia" w:asciiTheme="minorEastAsia" w:hAnsiTheme="minorEastAsia" w:eastAsiaTheme="minorEastAsia" w:cstheme="minorEastAsia"/>
          <w:b/>
          <w:sz w:val="52"/>
        </w:rPr>
      </w:pPr>
    </w:p>
    <w:p w14:paraId="38E91B25">
      <w:pPr>
        <w:ind w:firstLine="560"/>
        <w:rPr>
          <w:rFonts w:hint="eastAsia" w:asciiTheme="minorEastAsia" w:hAnsiTheme="minorEastAsia" w:eastAsiaTheme="minorEastAsia" w:cstheme="minorEastAsia"/>
          <w:color w:val="000000"/>
        </w:rPr>
      </w:pPr>
    </w:p>
    <w:p w14:paraId="61C33D45">
      <w:pPr>
        <w:ind w:firstLine="560"/>
        <w:rPr>
          <w:rFonts w:hint="eastAsia" w:asciiTheme="minorEastAsia" w:hAnsiTheme="minorEastAsia" w:eastAsiaTheme="minorEastAsia" w:cstheme="minorEastAsia"/>
          <w:color w:val="000000"/>
        </w:rPr>
      </w:pPr>
    </w:p>
    <w:p w14:paraId="1A127050">
      <w:pPr>
        <w:ind w:firstLine="560"/>
        <w:rPr>
          <w:rFonts w:hint="eastAsia" w:asciiTheme="minorEastAsia" w:hAnsiTheme="minorEastAsia" w:eastAsiaTheme="minorEastAsia" w:cstheme="minorEastAsia"/>
          <w:color w:val="000000"/>
        </w:rPr>
      </w:pPr>
    </w:p>
    <w:p w14:paraId="529A88B2">
      <w:pPr>
        <w:ind w:firstLine="560"/>
        <w:rPr>
          <w:rFonts w:hint="eastAsia" w:asciiTheme="minorEastAsia" w:hAnsiTheme="minorEastAsia" w:eastAsiaTheme="minorEastAsia" w:cstheme="minorEastAsia"/>
        </w:rPr>
      </w:pPr>
      <w:r>
        <w:rPr>
          <w:rFonts w:hint="eastAsia" w:asciiTheme="minorEastAsia" w:hAnsiTheme="minorEastAsia" w:eastAsiaTheme="minorEastAsia" w:cstheme="minorEastAsia"/>
        </w:rPr>
        <w:t>甲方（</w:t>
      </w:r>
      <w:r>
        <w:rPr>
          <w:rFonts w:hint="eastAsia" w:asciiTheme="minorEastAsia" w:hAnsiTheme="minorEastAsia" w:eastAsiaTheme="minorEastAsia" w:cstheme="minorEastAsia"/>
          <w:lang w:eastAsia="zh-Hans"/>
        </w:rPr>
        <w:t>实施机构</w:t>
      </w:r>
      <w:r>
        <w:rPr>
          <w:rFonts w:hint="eastAsia" w:asciiTheme="minorEastAsia" w:hAnsiTheme="minorEastAsia" w:eastAsiaTheme="minorEastAsia" w:cstheme="minorEastAsia"/>
        </w:rPr>
        <w:t>） ：</w:t>
      </w:r>
      <w:r>
        <w:rPr>
          <w:rFonts w:hint="eastAsia" w:asciiTheme="minorEastAsia" w:hAnsiTheme="minorEastAsia" w:eastAsiaTheme="minorEastAsia" w:cstheme="minorEastAsia"/>
          <w:u w:val="single"/>
        </w:rPr>
        <w:t>西安国家民用航天产业基地管理委员会</w:t>
      </w:r>
    </w:p>
    <w:p w14:paraId="031FE9C3">
      <w:pPr>
        <w:ind w:firstLine="560"/>
        <w:rPr>
          <w:rFonts w:hint="eastAsia" w:asciiTheme="minorEastAsia" w:hAnsiTheme="minorEastAsia" w:eastAsiaTheme="minorEastAsia" w:cstheme="minorEastAsia"/>
        </w:rPr>
      </w:pPr>
      <w:r>
        <w:rPr>
          <w:rFonts w:hint="eastAsia" w:asciiTheme="minorEastAsia" w:hAnsiTheme="minorEastAsia" w:eastAsiaTheme="minorEastAsia" w:cstheme="minorEastAsia"/>
        </w:rPr>
        <w:t>乙方（</w:t>
      </w:r>
      <w:r>
        <w:rPr>
          <w:rFonts w:hint="eastAsia" w:asciiTheme="minorEastAsia" w:hAnsiTheme="minorEastAsia" w:eastAsiaTheme="minorEastAsia" w:cstheme="minorEastAsia"/>
          <w:lang w:eastAsia="zh-Hans"/>
        </w:rPr>
        <w:t>资源承接方</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                                】</w:t>
      </w:r>
    </w:p>
    <w:p w14:paraId="71F195BD">
      <w:pPr>
        <w:ind w:firstLine="0" w:firstLineChars="0"/>
        <w:jc w:val="center"/>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二〇二</w:t>
      </w:r>
      <w:r>
        <w:rPr>
          <w:rFonts w:hint="eastAsia" w:asciiTheme="minorEastAsia" w:hAnsiTheme="minorEastAsia" w:eastAsiaTheme="minorEastAsia" w:cstheme="minorEastAsia"/>
        </w:rPr>
        <w:t>六</w:t>
      </w:r>
      <w:r>
        <w:rPr>
          <w:rFonts w:hint="eastAsia" w:asciiTheme="minorEastAsia" w:hAnsiTheme="minorEastAsia" w:eastAsiaTheme="minorEastAsia" w:cstheme="minorEastAsia"/>
          <w:lang w:eastAsia="zh-Hans"/>
        </w:rPr>
        <w:t>年</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lang w:eastAsia="zh-Hans"/>
        </w:rPr>
        <w:t>月</w:t>
      </w:r>
    </w:p>
    <w:p w14:paraId="5C0A7177">
      <w:pPr>
        <w:ind w:firstLine="560"/>
        <w:rPr>
          <w:rFonts w:hint="eastAsia" w:asciiTheme="minorEastAsia" w:hAnsiTheme="minorEastAsia" w:eastAsiaTheme="minorEastAsia" w:cstheme="minorEastAsia"/>
          <w:color w:val="000000"/>
        </w:rPr>
      </w:pPr>
    </w:p>
    <w:p w14:paraId="17AFBB2C">
      <w:pPr>
        <w:ind w:firstLine="560"/>
        <w:rPr>
          <w:rFonts w:hint="eastAsia" w:asciiTheme="minorEastAsia" w:hAnsiTheme="minorEastAsia" w:eastAsiaTheme="minorEastAsia" w:cstheme="minorEastAsia"/>
          <w:color w:val="000000"/>
        </w:rP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992" w:gutter="0"/>
          <w:cols w:space="425" w:num="1"/>
          <w:docGrid w:type="lines" w:linePitch="381" w:charSpace="0"/>
        </w:sectPr>
      </w:pPr>
    </w:p>
    <w:sdt>
      <w:sdtPr>
        <w:rPr>
          <w:rFonts w:hint="eastAsia" w:asciiTheme="minorEastAsia" w:hAnsiTheme="minorEastAsia" w:eastAsiaTheme="minorEastAsia" w:cstheme="minorEastAsia"/>
          <w:sz w:val="30"/>
          <w:szCs w:val="30"/>
        </w:rPr>
        <w:id w:val="339726976"/>
        <w15:color w:val="DBDBDB"/>
        <w:docPartObj>
          <w:docPartGallery w:val="Table of Contents"/>
          <w:docPartUnique/>
        </w:docPartObj>
      </w:sdtPr>
      <w:sdtEndPr>
        <w:rPr>
          <w:rFonts w:hint="eastAsia" w:asciiTheme="minorEastAsia" w:hAnsiTheme="minorEastAsia" w:eastAsiaTheme="minorEastAsia" w:cstheme="minorEastAsia"/>
          <w:b/>
          <w:sz w:val="18"/>
          <w:szCs w:val="18"/>
        </w:rPr>
      </w:sdtEndPr>
      <w:sdtContent>
        <w:p w14:paraId="4BAC51C3">
          <w:pPr>
            <w:spacing w:line="240" w:lineRule="auto"/>
            <w:ind w:firstLine="0" w:firstLineChars="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目  录</w:t>
          </w:r>
        </w:p>
        <w:p w14:paraId="6FA7BAE1">
          <w:pPr>
            <w:pStyle w:val="7"/>
            <w:tabs>
              <w:tab w:val="right" w:leader="dot" w:pos="9060"/>
            </w:tabs>
            <w:ind w:firstLine="32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kern w:val="0"/>
              <w:sz w:val="16"/>
              <w:szCs w:val="16"/>
            </w:rPr>
            <w:fldChar w:fldCharType="begin"/>
          </w:r>
          <w:r>
            <w:rPr>
              <w:rFonts w:hint="eastAsia" w:asciiTheme="minorEastAsia" w:hAnsiTheme="minorEastAsia" w:eastAsiaTheme="minorEastAsia" w:cstheme="minorEastAsia"/>
              <w:sz w:val="22"/>
              <w:szCs w:val="21"/>
            </w:rPr>
            <w:instrText xml:space="preserve">TOC \o "1-2" \h \u </w:instrText>
          </w:r>
          <w:r>
            <w:rPr>
              <w:rFonts w:hint="eastAsia" w:asciiTheme="minorEastAsia" w:hAnsiTheme="minorEastAsia" w:eastAsiaTheme="minorEastAsia" w:cstheme="minorEastAsia"/>
              <w:kern w:val="0"/>
              <w:sz w:val="16"/>
              <w:szCs w:val="16"/>
            </w:rPr>
            <w:fldChar w:fldCharType="separate"/>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"_Toc223006210"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rPr>
            <w:t>1.定义与解释</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_Toc223006210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10B93E08">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"_Toc223006211"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rPr>
            <w:t>1.1 定义</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_Toc223006211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D8D68C9">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"_Toc223006212"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1.2 解释</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_Toc223006212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4F9C37C">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"_Toc223006213"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1.3 协议文件与解释顺位</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_Toc223006213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1CCD2512">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"_Toc223006214"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1.4 基本原则</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_Toc223006214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0513DFC9">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"_Toc223006215"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2.授权范围</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_Toc223006215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67CD6FE">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"_Toc223006216"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2.1 项目概况</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_Toc223006216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5E50B838">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"_Toc223006217"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2.2 项目经营权出让价格、支付方式</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_Toc223006217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59B83667">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"_Toc223006218"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2.3 运作方式与授权内容</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_Toc223006218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0B0BE324">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"_Toc223006219"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2.4 产权归属</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_Toc223006219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6</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21587C2">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"_Toc223006220"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2.5 其他经营性业务</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_Toc223006220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6</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F0619B5">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"_Toc223006221"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2.6 授权期限</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_Toc223006221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6</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581514BC">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"_Toc223006222"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2.7 授权期满的处理</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_Toc223006222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7</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BC9645D">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"_Toc223006223"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3.实施机构及关联方</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_Toc223006223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7</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81C0520">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"_Toc223006224"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3.1 实施机构的声明</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_Toc223006224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7</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5FD5F17">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"_Toc223006225"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3.2 实施机构的义务</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_Toc223006225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7</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0435AD42">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"_Toc223006226"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3.3 实施机构的权利</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_Toc223006226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8</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1A445D6C">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"_Toc223006227"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3.4 实施机构代表</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_Toc223006227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4BC0C4A9">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"_Toc223006228"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4.资源承接方及关联方</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_Toc223006228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D456BB9">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"_Toc223006229"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4.1 资源承接方的声明</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_Toc223006229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B427A5D">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"_Toc223006230"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4.2 资源承接方的义务</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_Toc223006230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10</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05D19AD">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"_Toc223006231"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4.3 资源承接方的权利</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_Toc223006231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13</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7EAEDE28">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"_Toc223006232"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4.4 资源承接方代表</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_Toc223006232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14</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158D9C58">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"_Toc223006233"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5.履约担保</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_Toc223006233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14</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74B3A086">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"_Toc223006234"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6. 项目资金使用管理</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_Toc223006234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14</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A223C9A">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"_Toc223006235"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7.准备阶段</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_Toc223006235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14</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7E7BA699">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"_Toc223006236"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7.1 准备阶段期间的计算</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_Toc223006236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14</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8B346CC">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"_Toc223006237"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7.2 实施机构在准备阶段应完成的工作</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_Toc223006237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40AFECD5">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"_Toc223006238"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7.3 资源承接方在准备期间或之前应完成的工作</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_Toc223006238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81D705C">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"_Toc223006239"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7.4 前期工作与前期费用</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_Toc223006239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5C6C501D">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"_Toc223006240"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8. 建设阶段</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_Toc223006240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424A4872">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"_Toc223006241"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8.1 建设基本要求</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_Toc223006241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6CA0413">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"_Toc223006242"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8.2 建设质量</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_Toc223006242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16</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7F0B0B64">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"_Toc223006243"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8.3 安全文明施工与环境保护</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_Toc223006243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17</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5C0E7E6">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"_Toc223006244"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8.4 工期与进度</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_Toc223006244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18</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48D440A">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"_Toc223006245"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9.竣工验收与决算</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_Toc223006245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18</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A77F32C">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"_Toc223006246"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9.1 竣工验收</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_Toc223006246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18</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56B8BA05">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"_Toc223006247"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9.2 竣工决算</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_Toc223006247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07C54642">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"_Toc223006248"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10.运营阶段</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_Toc223006248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6250FCB">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"_Toc223006249"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10.1 运营准备</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_Toc223006249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46DBB2F7">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"_Toc223006250"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10.2 运营服务的标准</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_Toc223006250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20</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756D8DDC">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"_Toc223006251"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10.3 实施机构应完成事项</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_Toc223006251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21</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06E832DA">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"_Toc223006252"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10.4 运营服务内容</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_Toc223006252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21</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14F3877A">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"_Toc223006253"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10.5 资产重置</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_Toc223006253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23</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5DA10239">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"_Toc223006254"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11.移交阶段</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_Toc223006254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23</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04DF39AD">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"_Toc223006255"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11.1 移交范围</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_Toc223006255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23</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02B443B8">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"_Toc223006256"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11.2 移交清册、档案及文件</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_Toc223006256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5896A137">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"_Toc223006257"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11.3 恢复性大修</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_Toc223006257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5B39DBD">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"_Toc223006258"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11.4 移交标准</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_Toc223006258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26</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76B73592">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"_Toc223006259"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11.5 移交准备</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_Toc223006259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26</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D8F210A">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"_Toc223006260"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11.6 移交程序</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_Toc223006260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27</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6F37857">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"_Toc223006261"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11.7 未完成移交的效果</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_Toc223006261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28</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55C773F">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"_Toc223006262"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11.8 危险负担</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_Toc223006262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28</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7579D54">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"_Toc223006263"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11.9 缺陷责任</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_Toc223006263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28</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73B7981">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"_Toc223006264"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12.绩效评价</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_Toc223006264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FB12978">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"_Toc223006265"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12.1 全周期绩效管理</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_Toc223006265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7A90D81A">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"_Toc223006266"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12.2 绩效评价的主体</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_Toc223006266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1BF52DC">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"_Toc223006267"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12.3 绩效评价的范围</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_Toc223006267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30</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43DA8DAD">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"_Toc223006268"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12.4 绩效目标与指标体系的制定与调整</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_Toc223006268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30</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279F1D3">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"_Toc223006269"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12.5 建设期绩效评价（如涉及建设内容）</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_Toc223006269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30</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0B3F0C8A">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"_Toc223006270"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12.6 运营期绩效评价</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_Toc223006270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32</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0CD0B84B">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"_Toc223006271"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12.7 中期评估</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_Toc223006271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34</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E3AC487">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"_Toc223006272"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12.8 绩效评价与中期评估结果的异议</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_Toc223006272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F923A1E">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"_Toc223006273"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12.9 其他</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_Toc223006273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57CC9140">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"_Toc223006274"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13.价格政策与调整</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_Toc223006274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5DED23EF">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"_Toc223006275"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14.风险与保险</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_Toc223006275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D885FF0">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"_Toc223006276"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14.1 风险分配原则</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_Toc223006276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3D56B68">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"_Toc223006277"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14.2 购买保险</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_Toc223006277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36</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4D8639F1">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"_Toc223006278"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15.法律变更与不可抗力</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_Toc223006278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36</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1699F21">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"_Toc223006279"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15.1 守法义务</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_Toc223006279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36</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C0A80E4">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"_Toc223006280"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15.2 法律变更的要件</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_Toc223006280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36</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79FF84BD">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"_Toc223006281"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15.3 法律变更的效果</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_Toc223006281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37</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5A9445AA">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"_Toc223006282"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15.4 不可抗力的情形</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_Toc223006282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37</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0541601B">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"_Toc223006283"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15.5 不可抗力的通知与处理</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_Toc223006283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38</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8109B04">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"_Toc223006284"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15.6 不可抗力的效果</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_Toc223006284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38</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7017AC8F">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"_Toc223006285"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16.政府方介入权与公众监督</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_Toc223006285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5743EE6C">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"_Toc223006286"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16.1 政府方介入权</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_Toc223006286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41E8477">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"_Toc223006287"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16.</w:t>
          </w:r>
          <w:r>
            <w:rPr>
              <w:rStyle w:val="13"/>
              <w:rFonts w:hint="eastAsia" w:asciiTheme="minorEastAsia" w:hAnsiTheme="minorEastAsia" w:eastAsiaTheme="minorEastAsia" w:cstheme="minorEastAsia"/>
              <w:sz w:val="22"/>
              <w:szCs w:val="22"/>
            </w:rPr>
            <w:t>2</w:t>
          </w:r>
          <w:r>
            <w:rPr>
              <w:rStyle w:val="13"/>
              <w:rFonts w:hint="eastAsia" w:asciiTheme="minorEastAsia" w:hAnsiTheme="minorEastAsia" w:eastAsiaTheme="minorEastAsia" w:cstheme="minorEastAsia"/>
              <w:sz w:val="22"/>
              <w:szCs w:val="22"/>
              <w:lang w:eastAsia="zh-Hans"/>
            </w:rPr>
            <w:t xml:space="preserve"> 公众监督</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_Toc223006287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42</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01CCC444">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"_Toc223006288"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17.违约及提前终止</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_Toc223006288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43</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79221EC">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"_Toc223006289"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17.1 违约</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_Toc223006289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43</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C2C1D93">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"_Toc223006290"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17.2 第一类提前终止事由与效果（政府违约）</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_Toc223006290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3775BC8">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"_Toc223006291"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17.3 第二类提前终止事由与效果（政治不可抗力）</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_Toc223006291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0508D729">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"_Toc223006292"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17.4 第三类提前终止事由与效果（自然不可抗力、政策因素、公益原因）</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_Toc223006292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46</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F32E8A8">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"_Toc223006293"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17.5 第四类提前终止事由与效果（合意终止）</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_Toc223006293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46</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1F1447AE">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"_Toc223006294"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17.6 第五类提前终止事由与效果（资源承接方违约）</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_Toc223006294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47</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80E9F19">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"_Toc223006295"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17.7 提前终止的程序</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_Toc223006295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48</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13FA6777">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"_Toc223006296"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17.8 赔偿或补偿的审计</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_Toc223006296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48</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085FEA7E">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"_Toc223006297"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17.9 终止后移交</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_Toc223006297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48</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2B3A855">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"_Toc223006298"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18.行政区划调整与协议变更、转让</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_Toc223006298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14DA670">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"_Toc223006299"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18.1 行政区划调整</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_Toc223006299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AF6DD32">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"_Toc223006300"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18.2 协议的转让</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_Toc223006300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B909E15">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"_Toc223006301"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18.3 协议内容的变更</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_Toc223006301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50</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60D5A14">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"_Toc223006302"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19.争议处理</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_Toc223006302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51</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94591ED">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"_Toc223006303"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19.1 争议处理的方式</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_Toc223006303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51</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CFBF0B6">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"_Toc223006304"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19.2 友好协商</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_Toc223006304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51</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184E5820">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"_Toc223006305"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19.3 调解</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_Toc223006305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51</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10978D95">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"_Toc223006306"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19.4 争议评审</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_Toc223006306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51</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11F4B52">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"_Toc223006307"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19.5 诉讼</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_Toc223006307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52</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4899597D">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"_Toc223006308"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19.6 争议期间协议的履行</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_Toc223006308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52</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E0ADBF0">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"_Toc223006309"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20.协议附则</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_Toc223006309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53</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41A463A0">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"_Toc223006310"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20.1 适用法律法规</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_Toc223006310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53</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5A8EB802">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"_Toc223006311"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20.2 严禁贿赂</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_Toc223006311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53</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035F81F">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"_Toc223006312"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20.3 协议语言</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_Toc223006312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53</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17C9D79">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"_Toc223006313"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20.4 保密事项</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_Toc223006313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53</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44B1E720">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"_Toc223006314"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20.5 通知</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_Toc223006314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53</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77FC8AFE">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"_Toc223006315"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20.6 协议副本</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_Toc223006315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54</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E6D2058">
          <w:pPr>
            <w:pStyle w:val="8"/>
            <w:tabs>
              <w:tab w:val="right" w:leader="dot" w:pos="9060"/>
            </w:tabs>
            <w:ind w:left="560"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"_Toc223006316"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20.7 协议附件</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_Toc223006316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54</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B7EA35E">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"_Toc223006317"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 xml:space="preserve">附件 </w:t>
          </w:r>
          <w:r>
            <w:rPr>
              <w:rStyle w:val="13"/>
              <w:rFonts w:hint="eastAsia" w:asciiTheme="minorEastAsia" w:hAnsiTheme="minorEastAsia" w:eastAsiaTheme="minorEastAsia" w:cstheme="minorEastAsia"/>
              <w:sz w:val="22"/>
              <w:szCs w:val="22"/>
            </w:rPr>
            <w:t>5</w:t>
          </w:r>
          <w:r>
            <w:rPr>
              <w:rStyle w:val="13"/>
              <w:rFonts w:hint="eastAsia" w:asciiTheme="minorEastAsia" w:hAnsiTheme="minorEastAsia" w:eastAsiaTheme="minorEastAsia" w:cstheme="minorEastAsia"/>
              <w:sz w:val="22"/>
              <w:szCs w:val="22"/>
              <w:lang w:eastAsia="zh-Hans"/>
            </w:rPr>
            <w:t>：建设期绩效考核指标体系（如涉及建设内容）</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_Toc223006317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57</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44E06FE">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"_Toc223006318"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 xml:space="preserve">附件 </w:t>
          </w:r>
          <w:r>
            <w:rPr>
              <w:rStyle w:val="13"/>
              <w:rFonts w:hint="eastAsia" w:asciiTheme="minorEastAsia" w:hAnsiTheme="minorEastAsia" w:eastAsiaTheme="minorEastAsia" w:cstheme="minorEastAsia"/>
              <w:sz w:val="22"/>
              <w:szCs w:val="22"/>
            </w:rPr>
            <w:t>6</w:t>
          </w:r>
          <w:r>
            <w:rPr>
              <w:rStyle w:val="13"/>
              <w:rFonts w:hint="eastAsia" w:asciiTheme="minorEastAsia" w:hAnsiTheme="minorEastAsia" w:eastAsiaTheme="minorEastAsia" w:cstheme="minorEastAsia"/>
              <w:sz w:val="22"/>
              <w:szCs w:val="22"/>
              <w:lang w:eastAsia="zh-Hans"/>
            </w:rPr>
            <w:t>：运营期绩效考核指标体系</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_Toc223006318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58</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06F20CE">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"_Toc223006319"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lang w:eastAsia="zh-Hans"/>
            </w:rPr>
            <w:t xml:space="preserve">附件 </w:t>
          </w:r>
          <w:r>
            <w:rPr>
              <w:rStyle w:val="13"/>
              <w:rFonts w:hint="eastAsia" w:asciiTheme="minorEastAsia" w:hAnsiTheme="minorEastAsia" w:eastAsiaTheme="minorEastAsia" w:cstheme="minorEastAsia"/>
              <w:sz w:val="22"/>
              <w:szCs w:val="22"/>
            </w:rPr>
            <w:t>7</w:t>
          </w:r>
          <w:r>
            <w:rPr>
              <w:rStyle w:val="13"/>
              <w:rFonts w:hint="eastAsia" w:asciiTheme="minorEastAsia" w:hAnsiTheme="minorEastAsia" w:eastAsiaTheme="minorEastAsia" w:cstheme="minorEastAsia"/>
              <w:sz w:val="22"/>
              <w:szCs w:val="22"/>
              <w:lang w:eastAsia="zh-Hans"/>
            </w:rPr>
            <w:t>：协议终止赔偿与终止补偿金额的计算</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_Toc223006319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24A5335">
          <w:pPr>
            <w:pStyle w:val="7"/>
            <w:tabs>
              <w:tab w:val="right" w:leader="dot" w:pos="9060"/>
            </w:tabs>
            <w:ind w:firstLine="560"/>
            <w:rPr>
              <w:rFonts w:hint="eastAsia" w:asciiTheme="minorEastAsia" w:hAnsiTheme="minorEastAsia" w:eastAsiaTheme="minorEastAsia" w:cstheme="minorEastAsia"/>
              <w:sz w:val="22"/>
              <w:szCs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"_Toc223006320"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rPr>
            <w:t>附件 8：风险分配基本框架表</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_Toc223006320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60</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866DFF5">
          <w:pPr>
            <w:pStyle w:val="7"/>
            <w:tabs>
              <w:tab w:val="right" w:leader="dot" w:pos="9060"/>
            </w:tabs>
            <w:ind w:firstLine="560"/>
            <w:rPr>
              <w:rFonts w:hint="eastAsia" w:asciiTheme="minorEastAsia" w:hAnsiTheme="minorEastAsia" w:eastAsiaTheme="minorEastAsia" w:cstheme="minorEastAsia"/>
              <w:sz w:val="22"/>
              <w14:ligatures w14:val="standardContextual"/>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"_Toc223006321" </w:instrText>
          </w:r>
          <w:r>
            <w:rPr>
              <w:rFonts w:hint="eastAsia" w:asciiTheme="minorEastAsia" w:hAnsiTheme="minorEastAsia" w:eastAsiaTheme="minorEastAsia" w:cstheme="minorEastAsia"/>
            </w:rPr>
            <w:fldChar w:fldCharType="separate"/>
          </w:r>
          <w:r>
            <w:rPr>
              <w:rStyle w:val="13"/>
              <w:rFonts w:hint="eastAsia" w:asciiTheme="minorEastAsia" w:hAnsiTheme="minorEastAsia" w:eastAsiaTheme="minorEastAsia" w:cstheme="minorEastAsia"/>
              <w:sz w:val="22"/>
              <w:szCs w:val="22"/>
            </w:rPr>
            <w:t>附件9：停车位明细表</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_Toc223006321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62</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047E13E">
          <w:pPr>
            <w:pStyle w:val="2"/>
            <w:ind w:firstLine="300"/>
            <w:rPr>
              <w:rFonts w:hint="eastAsia" w:asciiTheme="minorEastAsia" w:hAnsiTheme="minorEastAsia" w:eastAsiaTheme="minorEastAsia" w:cstheme="minorEastAsia"/>
            </w:rPr>
          </w:pPr>
          <w:r>
            <w:rPr>
              <w:rFonts w:hint="eastAsia" w:asciiTheme="minorEastAsia" w:hAnsiTheme="minorEastAsia" w:eastAsiaTheme="minorEastAsia" w:cstheme="minorEastAsia"/>
              <w:b/>
              <w:sz w:val="15"/>
              <w:szCs w:val="15"/>
            </w:rPr>
            <w:fldChar w:fldCharType="end"/>
          </w:r>
        </w:p>
      </w:sdtContent>
    </w:sdt>
    <w:p w14:paraId="0098C33F">
      <w:pPr>
        <w:ind w:firstLine="562"/>
        <w:jc w:val="center"/>
        <w:rPr>
          <w:rFonts w:hint="eastAsia" w:asciiTheme="minorEastAsia" w:hAnsiTheme="minorEastAsia" w:eastAsiaTheme="minorEastAsia" w:cstheme="minorEastAsia"/>
          <w:b/>
          <w:bCs/>
          <w:color w:val="000000"/>
        </w:rPr>
      </w:pPr>
    </w:p>
    <w:p w14:paraId="7F86F271">
      <w:pPr>
        <w:ind w:firstLine="560"/>
        <w:rPr>
          <w:rFonts w:hint="eastAsia" w:asciiTheme="minorEastAsia" w:hAnsiTheme="minorEastAsia" w:eastAsiaTheme="minorEastAsia" w:cstheme="minorEastAsia"/>
          <w:color w:val="000000"/>
        </w:rPr>
        <w:sectPr>
          <w:headerReference r:id="rId11" w:type="default"/>
          <w:pgSz w:w="11906" w:h="16838"/>
          <w:pgMar w:top="1418" w:right="1418" w:bottom="1418" w:left="1418" w:header="851" w:footer="992" w:gutter="0"/>
          <w:cols w:space="425" w:num="1"/>
          <w:docGrid w:type="lines" w:linePitch="381" w:charSpace="0"/>
        </w:sectPr>
      </w:pPr>
    </w:p>
    <w:p w14:paraId="770FDFD8">
      <w:pPr>
        <w:pStyle w:val="3"/>
        <w:ind w:firstLine="560"/>
        <w:rPr>
          <w:rFonts w:hint="eastAsia" w:asciiTheme="minorEastAsia" w:hAnsiTheme="minorEastAsia" w:eastAsiaTheme="minorEastAsia" w:cstheme="minorEastAsia"/>
        </w:rPr>
      </w:pPr>
      <w:bookmarkStart w:id="0" w:name="_Toc223006210"/>
      <w:r>
        <w:rPr>
          <w:rFonts w:hint="eastAsia" w:asciiTheme="minorEastAsia" w:hAnsiTheme="minorEastAsia" w:eastAsiaTheme="minorEastAsia" w:cstheme="minorEastAsia"/>
        </w:rPr>
        <w:t>1.定义与解释</w:t>
      </w:r>
      <w:bookmarkEnd w:id="0"/>
    </w:p>
    <w:p w14:paraId="370B6485">
      <w:pPr>
        <w:pStyle w:val="4"/>
        <w:ind w:firstLine="560"/>
        <w:rPr>
          <w:rFonts w:hint="eastAsia" w:asciiTheme="minorEastAsia" w:hAnsiTheme="minorEastAsia" w:eastAsiaTheme="minorEastAsia" w:cstheme="minorEastAsia"/>
        </w:rPr>
      </w:pPr>
      <w:bookmarkStart w:id="1" w:name="_Toc223006211"/>
      <w:r>
        <w:rPr>
          <w:rFonts w:hint="eastAsia" w:asciiTheme="minorEastAsia" w:hAnsiTheme="minorEastAsia" w:eastAsiaTheme="minorEastAsia" w:cstheme="minorEastAsia"/>
        </w:rPr>
        <w:t>1.1 定义</w:t>
      </w:r>
      <w:bookmarkEnd w:id="1"/>
    </w:p>
    <w:p w14:paraId="4B1C105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除非本协议特别说明，或双方另有约定外，本协议下列词语的定义如下：</w:t>
      </w:r>
    </w:p>
    <w:p w14:paraId="0EAAD0A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1.1.1 项目与协议</w:t>
      </w:r>
    </w:p>
    <w:p w14:paraId="4A12D58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1.1.1.1 项目：是指西安航天基地停车场地经营权转让项目，除明确说明外，项目或本项目均指西安航天基地停车场地经营权转让项目。</w:t>
      </w:r>
    </w:p>
    <w:p w14:paraId="4F97885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1.1.1.2 协议或本协议：指由政府方西安国家民用航天产业基地管理委员会和资源承接方所签订的《西安航天基地停车场地经营权转让项目合作协议》，构成本协议的文件包括：协议条款、协议附件，以及日后签署本协议之补充协议，均视为本协议组成部分。</w:t>
      </w:r>
    </w:p>
    <w:p w14:paraId="0356770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1.1.2 各方人员</w:t>
      </w:r>
    </w:p>
    <w:p w14:paraId="27221AD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1.1.2.1 政府方：指授权实施机构的本级人民政府，本项目的政府方为西安国家民用航天产业基地管理委员会。</w:t>
      </w:r>
    </w:p>
    <w:p w14:paraId="626BAFB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1.1.2.2 实施机构：指经政府方授权代表政府方履行本协议权利义务的政府部门或事业单位，本项目的实施机构为【西安国家民用航天产业基地财政金融局】。</w:t>
      </w:r>
    </w:p>
    <w:p w14:paraId="58421AD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1.1.2.3 实施机构代表：是指由实施机构任命并派驻项目现场，作为实施机构的代表，在授权范围内履行协议中权利与义务的工作人员。</w:t>
      </w:r>
    </w:p>
    <w:p w14:paraId="7B0C658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1.1.2.4 资源承接方：指通过招标采购确定的负责项目投资、运营的法人。本项目的资源承接方为【</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eastAsia="zh-Hans"/>
        </w:rPr>
        <w:t>】。</w:t>
      </w:r>
    </w:p>
    <w:p w14:paraId="259FA11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1.1.2.5 资源承接方代表：指由资源承接方任命并派驻项目现场，代表资源承接方履行协议权利与义务的工作人员。</w:t>
      </w:r>
    </w:p>
    <w:p w14:paraId="61EFAD0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1.1.3 期日、期间、期限</w:t>
      </w:r>
    </w:p>
    <w:p w14:paraId="42CCD59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1.1.3.1 协议生效日：政府方与资源承接方在协议上签字并盖章后，协议中所载明的协议生效日期。</w:t>
      </w:r>
    </w:p>
    <w:p w14:paraId="472B77C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1.1.3.2 合作期：指项目建设期与运营期的合计期间，除绩效考核、中期评估调整合作期外，本项目合作期限不能变更。</w:t>
      </w:r>
    </w:p>
    <w:p w14:paraId="699E9FF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1.1.3.3 建设期：指从协议生效日起算至资源承接方完成工程建设，并经实施机构竣工验收合格的预定期间（项目实施过程中如涉及建设内容，本项目暂不涉及建设）。</w:t>
      </w:r>
    </w:p>
    <w:p w14:paraId="056B0FE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1.1.3.4 运营期：是指建设期到期之日至项目移交日的合计期间。</w:t>
      </w:r>
    </w:p>
    <w:p w14:paraId="774D2C7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1.1.3.5 移交日：指合作期间截止的最后一天，资源承接方应当完成项目资产、设施、场地的移交。</w:t>
      </w:r>
    </w:p>
    <w:p w14:paraId="66AEAEA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 xml:space="preserve">1.1.3.6 移交期：指移交日前的 </w:t>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lang w:eastAsia="zh-Hans"/>
        </w:rPr>
        <w:t xml:space="preserve"> 个月。</w:t>
      </w:r>
    </w:p>
    <w:p w14:paraId="566E770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1.1.3.7 移交缺陷责任期：指从移交日次日起计算的 12 个月内的期间。</w:t>
      </w:r>
    </w:p>
    <w:p w14:paraId="66DA5E1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1.1.4.其他</w:t>
      </w:r>
    </w:p>
    <w:p w14:paraId="6258FB9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1.1.4.1 适用法律：指中华人民共和国境内（香港特别行政区、澳门特别行政区和台湾地区除外）所有适用的法律、行政法规、司法解释、地方性法规、规章、政府部门颁布的标准、规范或其他适用的强制性要求，以及有法律约束力的其他规范性文件等。</w:t>
      </w:r>
    </w:p>
    <w:p w14:paraId="0AB98CA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1.1.4.2 法律变更：是指各级人民代表大会、常务委员会、人民政府或政府部门，于基准日后颁布新的法律；或是对于基准日前所颁布的法律进行修订、废止或对其解释有任何变动的情况。</w:t>
      </w:r>
    </w:p>
    <w:p w14:paraId="0B55BB9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1.1.4.3 不可抗力：指本协议各方不能预见、不能避免、不能克服的客观情况。</w:t>
      </w:r>
    </w:p>
    <w:p w14:paraId="730B1A7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1.1.4.4 谨慎工程和运营惯例：指可以合理期望的对同一项业务在相同或类似情形下熟练和有经验的承包商或操作者的技能、勤勉、谨慎和预见能力的惯例标准。就本项目而言，应包括但不限于采取合理的步骤，以确使：</w:t>
      </w:r>
    </w:p>
    <w:p w14:paraId="0C02924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（a）在满足正常条件下及合理预测的非正常条件下本项目拥有所需要的充足材料、资源和供应品；</w:t>
      </w:r>
    </w:p>
    <w:p w14:paraId="59B1B7C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（b）拥有足够数量、充足经验并经过适当培训的工作人员，以恰当有效地按照相应的手册和技术规范运营本项目并能够处理紧急情况；</w:t>
      </w:r>
    </w:p>
    <w:p w14:paraId="11E44A4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（c）由有知识并受过培训和有经验的人员进行预防性日常和非日常维护和修理，以确使本项目长期、可靠和安全地运营。</w:t>
      </w:r>
    </w:p>
    <w:p w14:paraId="7E02385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1.1.4.5 批准：指为了使资源承接方能够履行其在本协议项下的义务和行使其在本协议项下的权利，资源承接方必须或希望从政府机关依法获得的所需要的任何许可、执照、同意、授权、批准、免除或相同及类似的文件。</w:t>
      </w:r>
    </w:p>
    <w:p w14:paraId="35528E6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1.1.4.</w:t>
      </w: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eastAsia="zh-Hans"/>
        </w:rPr>
        <w:t xml:space="preserve"> 经营权对价：是指资源承接方为取得本项目的经营权，向政府方支付的价款。经营权在本项目的会计处理为无形资产，另外，本项目新建配套设备及辅助设施部分也作为无形资产入账。</w:t>
      </w:r>
    </w:p>
    <w:p w14:paraId="3B2D236A">
      <w:pPr>
        <w:pStyle w:val="4"/>
        <w:ind w:firstLine="560"/>
        <w:rPr>
          <w:rFonts w:hint="eastAsia" w:asciiTheme="minorEastAsia" w:hAnsiTheme="minorEastAsia" w:eastAsiaTheme="minorEastAsia" w:cstheme="minorEastAsia"/>
          <w:lang w:eastAsia="zh-Hans"/>
        </w:rPr>
      </w:pPr>
      <w:bookmarkStart w:id="2" w:name="_Toc223006212"/>
      <w:r>
        <w:rPr>
          <w:rFonts w:hint="eastAsia" w:asciiTheme="minorEastAsia" w:hAnsiTheme="minorEastAsia" w:eastAsiaTheme="minorEastAsia" w:cstheme="minorEastAsia"/>
          <w:lang w:eastAsia="zh-Hans"/>
        </w:rPr>
        <w:t>1.2 解释</w:t>
      </w:r>
      <w:bookmarkEnd w:id="2"/>
    </w:p>
    <w:p w14:paraId="4DB45CD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1.2.1 协议个别条文的标题仅供参考，不应影响具体条文的解释。</w:t>
      </w:r>
    </w:p>
    <w:p w14:paraId="1B5B95C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1.2.2 除另有约定外，协议所指的“一方”“他方”“该方”“双方”或“各方”是指签署本协议的一方、他方、该方、双方或各方，并且包括经允许受让或替代的人。</w:t>
      </w:r>
    </w:p>
    <w:p w14:paraId="238EBB8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1.2.3 协议所称的日、星期、季、月和年均指按公历计算的日、星期、季、月和年，星期六日、假日或是其他休息日均应计入。</w:t>
      </w:r>
    </w:p>
    <w:p w14:paraId="35BE078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1.2.4 协议所称的“包括”是指包括但是不限于。</w:t>
      </w:r>
    </w:p>
    <w:p w14:paraId="5632E6A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1.2.5 协议所称的“以上”“以内”“以前”“以下”“内”均含本数在内，“超过”“以外”均不含本数。</w:t>
      </w:r>
    </w:p>
    <w:p w14:paraId="79C7B27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1.2.6 任何文件或协议，包括修订、更新、补充或替代后的文件或协议。</w:t>
      </w:r>
    </w:p>
    <w:p w14:paraId="7D166D9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1.2.7 “元”指“人民币元”，为中华人民共和国法定货币。</w:t>
      </w:r>
    </w:p>
    <w:p w14:paraId="607775D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1.2.8 本协议并不限制或以其他方式影响实施机构及其他政府部门行使其法定行政职权。</w:t>
      </w:r>
    </w:p>
    <w:p w14:paraId="61F0FBF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1.2.9 若协议规定支付任何款项、提交任何书面材料、或其他相关规定的截止日期之日不是工作日，则应在该日期后的第一个工作日支付或提交。</w:t>
      </w:r>
    </w:p>
    <w:p w14:paraId="75002A4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1.2.10 除非上下文另有规定，所有“通知”“同意”或“批准”均指“书面通知”“书面同意”或“书面批准”。</w:t>
      </w:r>
    </w:p>
    <w:p w14:paraId="2262819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1.2.11 除非另有表述，时间应被解释为北京时间。</w:t>
      </w:r>
    </w:p>
    <w:p w14:paraId="381266AE">
      <w:pPr>
        <w:pStyle w:val="4"/>
        <w:ind w:firstLine="560"/>
        <w:rPr>
          <w:rFonts w:hint="eastAsia" w:asciiTheme="minorEastAsia" w:hAnsiTheme="minorEastAsia" w:eastAsiaTheme="minorEastAsia" w:cstheme="minorEastAsia"/>
          <w:lang w:eastAsia="zh-Hans"/>
        </w:rPr>
      </w:pPr>
      <w:bookmarkStart w:id="3" w:name="_Toc223006213"/>
      <w:r>
        <w:rPr>
          <w:rFonts w:hint="eastAsia" w:asciiTheme="minorEastAsia" w:hAnsiTheme="minorEastAsia" w:eastAsiaTheme="minorEastAsia" w:cstheme="minorEastAsia"/>
          <w:lang w:eastAsia="zh-Hans"/>
        </w:rPr>
        <w:t>1.3 协议文件与解释顺位</w:t>
      </w:r>
      <w:bookmarkEnd w:id="3"/>
    </w:p>
    <w:p w14:paraId="34F9FF7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协议由以下文件组成，协议的各项文件应相互解释互为说明，如内容发生不一致或是相互冲突时，除协议另有约定外，协议文件解释的优先顺序如下：</w:t>
      </w:r>
    </w:p>
    <w:p w14:paraId="75CA8BC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（a）协议条款（含补充协议）</w:t>
      </w:r>
    </w:p>
    <w:p w14:paraId="7660AAA1">
      <w:pPr>
        <w:ind w:firstLine="56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Hans"/>
        </w:rPr>
        <w:t>（b）协议附件</w:t>
      </w:r>
    </w:p>
    <w:p w14:paraId="757EC6D0">
      <w:pPr>
        <w:pStyle w:val="4"/>
        <w:ind w:firstLine="560"/>
        <w:rPr>
          <w:rFonts w:hint="eastAsia" w:asciiTheme="minorEastAsia" w:hAnsiTheme="minorEastAsia" w:eastAsiaTheme="minorEastAsia" w:cstheme="minorEastAsia"/>
          <w:lang w:eastAsia="zh-Hans"/>
        </w:rPr>
      </w:pPr>
      <w:bookmarkStart w:id="4" w:name="_Toc223006214"/>
      <w:r>
        <w:rPr>
          <w:rFonts w:hint="eastAsia" w:asciiTheme="minorEastAsia" w:hAnsiTheme="minorEastAsia" w:eastAsiaTheme="minorEastAsia" w:cstheme="minorEastAsia"/>
          <w:lang w:eastAsia="zh-Hans"/>
        </w:rPr>
        <w:t>1.4 基本原则</w:t>
      </w:r>
      <w:bookmarkEnd w:id="4"/>
    </w:p>
    <w:p w14:paraId="1B9E222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双方均同意秉着诚信、守法、公平、合理等原则履行本协议，并基于兼顾双方权利之立场，尽可能以协商方式解决各种争议。</w:t>
      </w:r>
    </w:p>
    <w:p w14:paraId="1C913778">
      <w:pPr>
        <w:pStyle w:val="3"/>
        <w:ind w:firstLine="560"/>
        <w:rPr>
          <w:rFonts w:hint="eastAsia" w:asciiTheme="minorEastAsia" w:hAnsiTheme="minorEastAsia" w:eastAsiaTheme="minorEastAsia" w:cstheme="minorEastAsia"/>
          <w:lang w:eastAsia="zh-Hans"/>
        </w:rPr>
      </w:pPr>
      <w:bookmarkStart w:id="5" w:name="_Toc223006215"/>
      <w:r>
        <w:rPr>
          <w:rFonts w:hint="eastAsia" w:asciiTheme="minorEastAsia" w:hAnsiTheme="minorEastAsia" w:eastAsiaTheme="minorEastAsia" w:cstheme="minorEastAsia"/>
          <w:lang w:eastAsia="zh-Hans"/>
        </w:rPr>
        <w:t>2.授权范围</w:t>
      </w:r>
      <w:bookmarkEnd w:id="5"/>
    </w:p>
    <w:p w14:paraId="0A09AF65">
      <w:pPr>
        <w:pStyle w:val="4"/>
        <w:ind w:firstLine="560"/>
        <w:rPr>
          <w:rFonts w:hint="eastAsia" w:asciiTheme="minorEastAsia" w:hAnsiTheme="minorEastAsia" w:eastAsiaTheme="minorEastAsia" w:cstheme="minorEastAsia"/>
          <w:lang w:eastAsia="zh-Hans"/>
        </w:rPr>
      </w:pPr>
      <w:bookmarkStart w:id="6" w:name="_Toc223006216"/>
      <w:r>
        <w:rPr>
          <w:rFonts w:hint="eastAsia" w:asciiTheme="minorEastAsia" w:hAnsiTheme="minorEastAsia" w:eastAsiaTheme="minorEastAsia" w:cstheme="minorEastAsia"/>
          <w:lang w:eastAsia="zh-Hans"/>
        </w:rPr>
        <w:t>2.1 项目概况</w:t>
      </w:r>
      <w:bookmarkEnd w:id="6"/>
    </w:p>
    <w:p w14:paraId="309A5D0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2.1.1 西安航天基地停车场地经营权转让项目内容包括西安航天基地停车位共计</w:t>
      </w:r>
      <w:r>
        <w:rPr>
          <w:rFonts w:hint="eastAsia" w:asciiTheme="minorEastAsia" w:hAnsiTheme="minorEastAsia" w:eastAsiaTheme="minorEastAsia" w:cstheme="minorEastAsia"/>
        </w:rPr>
        <w:t>11436</w:t>
      </w:r>
      <w:r>
        <w:rPr>
          <w:rFonts w:hint="eastAsia" w:asciiTheme="minorEastAsia" w:hAnsiTheme="minorEastAsia" w:eastAsiaTheme="minorEastAsia" w:cstheme="minorEastAsia"/>
          <w:lang w:eastAsia="zh-Hans"/>
        </w:rPr>
        <w:t>个。</w:t>
      </w:r>
    </w:p>
    <w:p w14:paraId="2CEFBD3F">
      <w:pPr>
        <w:ind w:firstLine="56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Hans"/>
        </w:rPr>
        <w:t>2.1.2 本协议约定的西安航天基地停车场地范围随国家政策变化和城市管理需要实行动态调整，保持所转让停车位总量不变，停车位的位置和数量以实施机构的书面文件调整为准。若调整后的停车位分布零散导致资源承接方运营成本增加，双方应就经营权转让金和经营期限另行协商。</w:t>
      </w:r>
    </w:p>
    <w:p w14:paraId="043BDC5A">
      <w:pPr>
        <w:pStyle w:val="4"/>
        <w:ind w:firstLine="560"/>
        <w:rPr>
          <w:rFonts w:hint="eastAsia" w:asciiTheme="minorEastAsia" w:hAnsiTheme="minorEastAsia" w:eastAsiaTheme="minorEastAsia" w:cstheme="minorEastAsia"/>
          <w:lang w:eastAsia="zh-Hans"/>
        </w:rPr>
      </w:pPr>
      <w:bookmarkStart w:id="7" w:name="_Toc223006217"/>
      <w:r>
        <w:rPr>
          <w:rFonts w:hint="eastAsia" w:asciiTheme="minorEastAsia" w:hAnsiTheme="minorEastAsia" w:eastAsiaTheme="minorEastAsia" w:cstheme="minorEastAsia"/>
          <w:lang w:eastAsia="zh-Hans"/>
        </w:rPr>
        <w:t>2.2 项目经营权出让价格、支付方式</w:t>
      </w:r>
      <w:bookmarkEnd w:id="7"/>
    </w:p>
    <w:p w14:paraId="7FCC2E0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本项目经营权出让价格为人民币</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lang w:eastAsia="zh-Hans"/>
        </w:rPr>
        <w:t>（小写：</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）【最终以招标结果为准】</w:t>
      </w:r>
      <w:r>
        <w:rPr>
          <w:rFonts w:hint="eastAsia" w:asciiTheme="minorEastAsia" w:hAnsiTheme="minorEastAsia" w:eastAsiaTheme="minorEastAsia" w:cstheme="minorEastAsia"/>
          <w:lang w:eastAsia="zh-Hans"/>
        </w:rPr>
        <w:t>，</w:t>
      </w:r>
      <w:r>
        <w:rPr>
          <w:rFonts w:hint="eastAsia" w:asciiTheme="minorEastAsia" w:hAnsiTheme="minorEastAsia" w:eastAsiaTheme="minorEastAsia" w:cstheme="minorEastAsia"/>
          <w:lang w:val="en-US" w:eastAsia="zh-Hans"/>
        </w:rPr>
        <w:t>合同签订后6个月内，乙方将经营权出让价款一次性转账支付至甲方指定银行账户。</w:t>
      </w:r>
    </w:p>
    <w:p w14:paraId="648FA46C">
      <w:pPr>
        <w:pStyle w:val="4"/>
        <w:ind w:firstLine="560"/>
        <w:rPr>
          <w:rFonts w:hint="eastAsia" w:asciiTheme="minorEastAsia" w:hAnsiTheme="minorEastAsia" w:eastAsiaTheme="minorEastAsia" w:cstheme="minorEastAsia"/>
          <w:lang w:eastAsia="zh-Hans"/>
        </w:rPr>
      </w:pPr>
      <w:bookmarkStart w:id="8" w:name="_Toc223006218"/>
      <w:r>
        <w:rPr>
          <w:rFonts w:hint="eastAsia" w:asciiTheme="minorEastAsia" w:hAnsiTheme="minorEastAsia" w:eastAsiaTheme="minorEastAsia" w:cstheme="minorEastAsia"/>
          <w:lang w:eastAsia="zh-Hans"/>
        </w:rPr>
        <w:t>2.3 运作方式与授权内容</w:t>
      </w:r>
      <w:bookmarkEnd w:id="8"/>
    </w:p>
    <w:p w14:paraId="75A3A56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2.3.1 运作方式：由实施机构以现状方式将项目用地及项目资产移交给资源承接方，资源承接方负责停车位的建设、运营、维护，提供智慧停车服务，通过依法收取停车费和其他增值服务费，获得合理投资回报。在合作期满后，本项目经营权由实施机构收回（继续合作除外），资源承接方将本项目用地及项目资产全部无偿、完好、无负担地向实施机构或政府指定的机构移交。</w:t>
      </w:r>
    </w:p>
    <w:p w14:paraId="220CC53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2.3.2 授权内容：本项目授权内容指本协议规定之经营权的范围为在规定的合作期限和地域范围内，资源承接方对该地域停车位基础设备设施的管理维护，包括停车位的运营维护和广告设施（若有）的运营维护；软件维护（若有），包括智慧停车服务平台运营维护、智能停车管理系统、基于云技术的软硬件基础设施（云服务）的维护、智慧停车APP的运营，资源承接方不得擅自拓展经营权地域范围。</w:t>
      </w:r>
    </w:p>
    <w:p w14:paraId="3DD8CB5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2.3.</w:t>
      </w: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Hans"/>
        </w:rPr>
        <w:t xml:space="preserve"> 实施机构收到资源承接方支付的全额经营权出让价款后5个工作日内，实施机构将转让标的</w:t>
      </w:r>
      <w:r>
        <w:rPr>
          <w:rFonts w:hint="eastAsia" w:asciiTheme="minorEastAsia" w:hAnsiTheme="minorEastAsia" w:eastAsiaTheme="minorEastAsia" w:cstheme="minorEastAsia"/>
        </w:rPr>
        <w:t>11436</w:t>
      </w:r>
      <w:r>
        <w:rPr>
          <w:rFonts w:hint="eastAsia" w:asciiTheme="minorEastAsia" w:hAnsiTheme="minorEastAsia" w:eastAsiaTheme="minorEastAsia" w:cstheme="minorEastAsia"/>
          <w:lang w:eastAsia="zh-Hans"/>
        </w:rPr>
        <w:t>个停车位场地及资产移交给资源承接方，停车位配套的设施设备(以双方移交时的清单为准)同时移交给资源承接方。实施机构逾期移交的，合作期限顺延。</w:t>
      </w:r>
    </w:p>
    <w:p w14:paraId="40FDFC0F">
      <w:pPr>
        <w:pStyle w:val="4"/>
        <w:ind w:firstLine="560"/>
        <w:rPr>
          <w:rFonts w:hint="eastAsia" w:asciiTheme="minorEastAsia" w:hAnsiTheme="minorEastAsia" w:eastAsiaTheme="minorEastAsia" w:cstheme="minorEastAsia"/>
          <w:lang w:eastAsia="zh-Hans"/>
        </w:rPr>
      </w:pPr>
      <w:bookmarkStart w:id="9" w:name="_Toc223006219"/>
      <w:r>
        <w:rPr>
          <w:rFonts w:hint="eastAsia" w:asciiTheme="minorEastAsia" w:hAnsiTheme="minorEastAsia" w:eastAsiaTheme="minorEastAsia" w:cstheme="minorEastAsia"/>
          <w:lang w:eastAsia="zh-Hans"/>
        </w:rPr>
        <w:t>2.4 产权归属</w:t>
      </w:r>
      <w:bookmarkEnd w:id="9"/>
    </w:p>
    <w:p w14:paraId="6ABBA66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本项目资产和设施的所有权归项目政府方所有，资源承接方针对项目场地、项目资产、项目设施设备在合作期内拥有经营权和收益权。</w:t>
      </w:r>
    </w:p>
    <w:p w14:paraId="3BEBF79E">
      <w:pPr>
        <w:pStyle w:val="4"/>
        <w:ind w:firstLine="560"/>
        <w:rPr>
          <w:rFonts w:hint="eastAsia" w:asciiTheme="minorEastAsia" w:hAnsiTheme="minorEastAsia" w:eastAsiaTheme="minorEastAsia" w:cstheme="minorEastAsia"/>
          <w:lang w:eastAsia="zh-Hans"/>
        </w:rPr>
      </w:pPr>
      <w:bookmarkStart w:id="10" w:name="_Toc223006220"/>
      <w:r>
        <w:rPr>
          <w:rFonts w:hint="eastAsia" w:asciiTheme="minorEastAsia" w:hAnsiTheme="minorEastAsia" w:eastAsiaTheme="minorEastAsia" w:cstheme="minorEastAsia"/>
          <w:lang w:eastAsia="zh-Hans"/>
        </w:rPr>
        <w:t>2.5 其他经营性业务</w:t>
      </w:r>
      <w:bookmarkEnd w:id="10"/>
    </w:p>
    <w:p w14:paraId="66872A5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合作协议履行期间，资源承接方利用本项目场地、设施开展协议约定内容以外的经营性业务的，必须事先报经实施机构书面同意。由此产生的收益分配等事宜由双方另行书面约定，资源承接方应确保经营性业务不得影响本项目的实施或影响公共利益或公共安全，否则视为资源承接方违约。</w:t>
      </w:r>
    </w:p>
    <w:p w14:paraId="6A6FF916">
      <w:pPr>
        <w:pStyle w:val="4"/>
        <w:ind w:firstLine="560"/>
        <w:rPr>
          <w:rFonts w:hint="eastAsia" w:asciiTheme="minorEastAsia" w:hAnsiTheme="minorEastAsia" w:eastAsiaTheme="minorEastAsia" w:cstheme="minorEastAsia"/>
          <w:lang w:eastAsia="zh-Hans"/>
        </w:rPr>
      </w:pPr>
      <w:bookmarkStart w:id="11" w:name="_Toc223006221"/>
      <w:r>
        <w:rPr>
          <w:rFonts w:hint="eastAsia" w:asciiTheme="minorEastAsia" w:hAnsiTheme="minorEastAsia" w:eastAsiaTheme="minorEastAsia" w:cstheme="minorEastAsia"/>
          <w:lang w:eastAsia="zh-Hans"/>
        </w:rPr>
        <w:t>2.6 授权期限</w:t>
      </w:r>
      <w:bookmarkEnd w:id="11"/>
    </w:p>
    <w:p w14:paraId="64B3A4A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除绩效考核、中期评估调整合作期外，本项目合作期【30】年，合作期开始日为从实施机构将项目用地、项目资产及项目设施设备正式移交给资源承接方之日算起。</w:t>
      </w:r>
    </w:p>
    <w:p w14:paraId="5AC03E1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本项目暂无建设内容，如后期涉及项目建设，无论建设期长短，均不影响合作期。</w:t>
      </w:r>
    </w:p>
    <w:p w14:paraId="1C1B8ECB">
      <w:pPr>
        <w:pStyle w:val="4"/>
        <w:ind w:firstLine="560"/>
        <w:rPr>
          <w:rFonts w:hint="eastAsia" w:asciiTheme="minorEastAsia" w:hAnsiTheme="minorEastAsia" w:eastAsiaTheme="minorEastAsia" w:cstheme="minorEastAsia"/>
          <w:lang w:eastAsia="zh-Hans"/>
        </w:rPr>
      </w:pPr>
      <w:bookmarkStart w:id="12" w:name="_Toc223006222"/>
      <w:r>
        <w:rPr>
          <w:rFonts w:hint="eastAsia" w:asciiTheme="minorEastAsia" w:hAnsiTheme="minorEastAsia" w:eastAsiaTheme="minorEastAsia" w:cstheme="minorEastAsia"/>
          <w:lang w:eastAsia="zh-Hans"/>
        </w:rPr>
        <w:t>2.7 授权期满的处理</w:t>
      </w:r>
      <w:bookmarkEnd w:id="12"/>
    </w:p>
    <w:p w14:paraId="6841B45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项目合作期满，资源承接方无偿移交项目用地、项目资产、项目设施设备、运营权及收益权给项目实施机构，如项目需继续授权运营，同等条件下，原资源承接方可优先获得经营权。</w:t>
      </w:r>
    </w:p>
    <w:p w14:paraId="3BAF9EEE">
      <w:pPr>
        <w:pStyle w:val="3"/>
        <w:ind w:firstLine="560"/>
        <w:rPr>
          <w:rFonts w:hint="eastAsia" w:asciiTheme="minorEastAsia" w:hAnsiTheme="minorEastAsia" w:eastAsiaTheme="minorEastAsia" w:cstheme="minorEastAsia"/>
          <w:lang w:eastAsia="zh-Hans"/>
        </w:rPr>
      </w:pPr>
      <w:bookmarkStart w:id="13" w:name="_Toc223006223"/>
      <w:r>
        <w:rPr>
          <w:rFonts w:hint="eastAsia" w:asciiTheme="minorEastAsia" w:hAnsiTheme="minorEastAsia" w:eastAsiaTheme="minorEastAsia" w:cstheme="minorEastAsia"/>
          <w:lang w:eastAsia="zh-Hans"/>
        </w:rPr>
        <w:t>3.实施机构及关联方</w:t>
      </w:r>
      <w:bookmarkEnd w:id="13"/>
    </w:p>
    <w:p w14:paraId="5B70F4F0">
      <w:pPr>
        <w:pStyle w:val="4"/>
        <w:ind w:firstLine="560"/>
        <w:rPr>
          <w:rFonts w:hint="eastAsia" w:asciiTheme="minorEastAsia" w:hAnsiTheme="minorEastAsia" w:eastAsiaTheme="minorEastAsia" w:cstheme="minorEastAsia"/>
          <w:lang w:eastAsia="zh-Hans"/>
        </w:rPr>
      </w:pPr>
      <w:bookmarkStart w:id="14" w:name="_Toc223006224"/>
      <w:r>
        <w:rPr>
          <w:rFonts w:hint="eastAsia" w:asciiTheme="minorEastAsia" w:hAnsiTheme="minorEastAsia" w:eastAsiaTheme="minorEastAsia" w:cstheme="minorEastAsia"/>
          <w:lang w:eastAsia="zh-Hans"/>
        </w:rPr>
        <w:t>3.1 实施机构的声明</w:t>
      </w:r>
      <w:bookmarkEnd w:id="14"/>
    </w:p>
    <w:p w14:paraId="17718B4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3.1.1 资格和能力</w:t>
      </w:r>
    </w:p>
    <w:p w14:paraId="79F918C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已经充分理解本协议的背景和目的，具有依照管委会签署本协议后履行本协议以及有关其他文件的资格和能力，确保严格按照本协议约定履行相关义务，本项目不存在其他未披露的可能影响本项目实施的诉讼、仲裁等争议。</w:t>
      </w:r>
    </w:p>
    <w:p w14:paraId="643973E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3.1.2 取得授权</w:t>
      </w:r>
    </w:p>
    <w:p w14:paraId="0B20091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实施机构已经获得政府方的授权履行本协议，因此实施机构具有履行本协议的资格和权利，并有权就本项目授予资源承接方经营权。</w:t>
      </w:r>
    </w:p>
    <w:p w14:paraId="670A46B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3.1.3 取得合法批复</w:t>
      </w:r>
    </w:p>
    <w:p w14:paraId="1048E37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实施机构已于本协议签订之前完成了本项目的经营权实施方案，并已依法取得相应的全部审批、核准、备案等文件或手续。</w:t>
      </w:r>
    </w:p>
    <w:p w14:paraId="574BB435">
      <w:pPr>
        <w:pStyle w:val="4"/>
        <w:ind w:firstLine="560"/>
        <w:rPr>
          <w:rFonts w:hint="eastAsia" w:asciiTheme="minorEastAsia" w:hAnsiTheme="minorEastAsia" w:eastAsiaTheme="minorEastAsia" w:cstheme="minorEastAsia"/>
          <w:lang w:eastAsia="zh-Hans"/>
        </w:rPr>
      </w:pPr>
      <w:bookmarkStart w:id="15" w:name="_Toc223006225"/>
      <w:r>
        <w:rPr>
          <w:rFonts w:hint="eastAsia" w:asciiTheme="minorEastAsia" w:hAnsiTheme="minorEastAsia" w:eastAsiaTheme="minorEastAsia" w:cstheme="minorEastAsia"/>
          <w:lang w:eastAsia="zh-Hans"/>
        </w:rPr>
        <w:t>3.2 实施机构的义务</w:t>
      </w:r>
      <w:bookmarkEnd w:id="15"/>
    </w:p>
    <w:p w14:paraId="0E4D3CE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3.2.1 移交停车位资产及权利</w:t>
      </w:r>
    </w:p>
    <w:p w14:paraId="4425659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本项目由实施机构按本协议约定将停车位用地、资产、设施设备、经营权、收益权移交给资源承接方。</w:t>
      </w:r>
    </w:p>
    <w:p w14:paraId="56023E0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3.2.</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Hans"/>
        </w:rPr>
        <w:t>唯一性义务</w:t>
      </w:r>
    </w:p>
    <w:p w14:paraId="2F11BC4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本项目合作内投资、运营服务专属由资源承接方提供，实施机构同意在授权的合作范围内，不再引进第三人提供同类或是同性质的服务。</w:t>
      </w:r>
    </w:p>
    <w:p w14:paraId="5671AD3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3.2.</w:t>
      </w: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Hans"/>
        </w:rPr>
        <w:t>其他义务</w:t>
      </w:r>
    </w:p>
    <w:p w14:paraId="620DF4C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实施机构根据本协议或是依据项目性质应履行的相关义务。</w:t>
      </w:r>
    </w:p>
    <w:p w14:paraId="4C73AD03">
      <w:pPr>
        <w:pStyle w:val="4"/>
        <w:ind w:firstLine="560"/>
        <w:rPr>
          <w:rFonts w:hint="eastAsia" w:asciiTheme="minorEastAsia" w:hAnsiTheme="minorEastAsia" w:eastAsiaTheme="minorEastAsia" w:cstheme="minorEastAsia"/>
          <w:lang w:eastAsia="zh-Hans"/>
        </w:rPr>
      </w:pPr>
      <w:bookmarkStart w:id="16" w:name="_Toc223006226"/>
      <w:r>
        <w:rPr>
          <w:rFonts w:hint="eastAsia" w:asciiTheme="minorEastAsia" w:hAnsiTheme="minorEastAsia" w:eastAsiaTheme="minorEastAsia" w:cstheme="minorEastAsia"/>
          <w:lang w:eastAsia="zh-Hans"/>
        </w:rPr>
        <w:t>3.3 实施机构的权利</w:t>
      </w:r>
      <w:bookmarkEnd w:id="16"/>
    </w:p>
    <w:p w14:paraId="0CC1339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3.3.1 受领服务的权利</w:t>
      </w:r>
    </w:p>
    <w:p w14:paraId="6AE4159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实施机构有权要求资源承接方提供符合协议约定的服务，其中包括但不限于在项目范围内的停车服务、增值服务等。</w:t>
      </w:r>
    </w:p>
    <w:p w14:paraId="4B1D52D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3.3.2 监督资源承接方运作的权利</w:t>
      </w:r>
    </w:p>
    <w:p w14:paraId="3EFFEE3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实施机构有权通过实施机构代表，依据协议以及相关法律的规定，针对资源承接方履行协议义务以及资源承接方所提供的服务进行必要的监督。</w:t>
      </w:r>
    </w:p>
    <w:p w14:paraId="7B63050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3.3.3 提问检查权</w:t>
      </w:r>
    </w:p>
    <w:p w14:paraId="20C4D53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实施机构、实施机构代表对于发现与本项目投资、运营、移交等相关的问题，均有权向资源承接方提问并要求限期回答，资源承接方在指定的时间内必须回复。</w:t>
      </w:r>
    </w:p>
    <w:p w14:paraId="3A3408E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3.3.4 资料调取与知情权</w:t>
      </w:r>
    </w:p>
    <w:p w14:paraId="7945632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在合作期间有义务在实施机构、实施机构代表的要求下，提交本项目建设及运营报告、资源承接方财务报告、已经对外签署和即将对外签署协议及相关文件、资金往来证明以及其他必要的文件，实施机构代表应对资源承接方所提交的文件进行审阅并存档备查。</w:t>
      </w:r>
    </w:p>
    <w:p w14:paraId="75FA7B1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3.3.5 绩效评价及中期评估权</w:t>
      </w:r>
    </w:p>
    <w:p w14:paraId="255198D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实施机构或政府方指定机构或其委托的第三方机构，有权对资源承接方的投资、建设、经营、管理、安全、质量、服务状况等进行绩效评价及中期评估，并有权将评价结果和评估结果向社会公布，接受公众监督。</w:t>
      </w:r>
    </w:p>
    <w:p w14:paraId="46616EC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3.3.6 介入权</w:t>
      </w:r>
    </w:p>
    <w:p w14:paraId="22E4DAF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实施机构有权依本协议第 16.1 条规定行使介入权。</w:t>
      </w:r>
    </w:p>
    <w:p w14:paraId="40B0C81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3.3.7 不免责条款</w:t>
      </w:r>
    </w:p>
    <w:p w14:paraId="58F8E11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实施机构、实施机构代表对本项目所行使的任何监督、审查、备案、检查、检验或类似行为，并不免除资源承接方的本协议的所有义务与责任。</w:t>
      </w:r>
    </w:p>
    <w:p w14:paraId="5EDFF4D0">
      <w:pPr>
        <w:pStyle w:val="4"/>
        <w:ind w:firstLine="560"/>
        <w:rPr>
          <w:rFonts w:hint="eastAsia" w:asciiTheme="minorEastAsia" w:hAnsiTheme="minorEastAsia" w:eastAsiaTheme="minorEastAsia" w:cstheme="minorEastAsia"/>
          <w:lang w:eastAsia="zh-Hans"/>
        </w:rPr>
      </w:pPr>
      <w:bookmarkStart w:id="17" w:name="_Toc223006227"/>
      <w:r>
        <w:rPr>
          <w:rFonts w:hint="eastAsia" w:asciiTheme="minorEastAsia" w:hAnsiTheme="minorEastAsia" w:eastAsiaTheme="minorEastAsia" w:cstheme="minorEastAsia"/>
          <w:lang w:eastAsia="zh-Hans"/>
        </w:rPr>
        <w:t>3.4 实施机构代表</w:t>
      </w:r>
      <w:bookmarkEnd w:id="17"/>
    </w:p>
    <w:p w14:paraId="50BFB80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3.4.1 实施机构代表的任命与替换实施机构任命的实施机构代表被视为具有实施机构在协议中的全部权利。实施机构代表可以指派助手协助其执行任务，但不得将实施机构所赋予的权利再授权给任何第三人。如实施机构替换实施机构代表，应在不少于 14 日前，将替换人选的人员信息以及任命日期通知资源承接方。</w:t>
      </w:r>
    </w:p>
    <w:p w14:paraId="66032CD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3.4.2 实施机构代表的职责</w:t>
      </w:r>
    </w:p>
    <w:p w14:paraId="22DD426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实施机构代表由实施机构任命并派驻项目现场后，即有权代表实施机构履行协议中所有的权利与义务。</w:t>
      </w:r>
    </w:p>
    <w:p w14:paraId="1D4A1A27">
      <w:pPr>
        <w:pStyle w:val="3"/>
        <w:ind w:firstLine="560"/>
        <w:rPr>
          <w:rFonts w:hint="eastAsia" w:asciiTheme="minorEastAsia" w:hAnsiTheme="minorEastAsia" w:eastAsiaTheme="minorEastAsia" w:cstheme="minorEastAsia"/>
          <w:lang w:eastAsia="zh-Hans"/>
        </w:rPr>
      </w:pPr>
      <w:bookmarkStart w:id="18" w:name="_Toc223006228"/>
      <w:r>
        <w:rPr>
          <w:rFonts w:hint="eastAsia" w:asciiTheme="minorEastAsia" w:hAnsiTheme="minorEastAsia" w:eastAsiaTheme="minorEastAsia" w:cstheme="minorEastAsia"/>
          <w:lang w:eastAsia="zh-Hans"/>
        </w:rPr>
        <w:t>4.资源承接方及关联方</w:t>
      </w:r>
      <w:bookmarkEnd w:id="18"/>
    </w:p>
    <w:p w14:paraId="3EDA19BE">
      <w:pPr>
        <w:pStyle w:val="4"/>
        <w:ind w:firstLine="560"/>
        <w:rPr>
          <w:rFonts w:hint="eastAsia" w:asciiTheme="minorEastAsia" w:hAnsiTheme="minorEastAsia" w:eastAsiaTheme="minorEastAsia" w:cstheme="minorEastAsia"/>
          <w:lang w:eastAsia="zh-Hans"/>
        </w:rPr>
      </w:pPr>
      <w:bookmarkStart w:id="19" w:name="_Toc223006229"/>
      <w:r>
        <w:rPr>
          <w:rFonts w:hint="eastAsia" w:asciiTheme="minorEastAsia" w:hAnsiTheme="minorEastAsia" w:eastAsiaTheme="minorEastAsia" w:cstheme="minorEastAsia"/>
          <w:lang w:eastAsia="zh-Hans"/>
        </w:rPr>
        <w:t>4.1 资源承接方的声明</w:t>
      </w:r>
      <w:bookmarkEnd w:id="19"/>
    </w:p>
    <w:p w14:paraId="501A641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4.1.1 资源承接方的合法性</w:t>
      </w:r>
    </w:p>
    <w:p w14:paraId="1F7FA16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资源承接方具有签署和履行本协议的法人资格和能力，并已获得为该等签署和履行所需的政府部门的所有批准。</w:t>
      </w:r>
    </w:p>
    <w:p w14:paraId="7E6093D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4.1.2 资源承接方签署协议的合法性</w:t>
      </w:r>
    </w:p>
    <w:p w14:paraId="5A1540C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已经取得了与签署和履行协议有关的一切内部、外部的授权和许可，协议一经签署，即对资源承接方具有完全的法律约束力。签署协议和履行协议的义务不会导致资源承接方违反法律法规、行政决定、生效判决和仲裁裁决的强制性规定，不会违反其与第三方协议的条款、条件和承诺，也不会引致任何利益冲突。</w:t>
      </w:r>
    </w:p>
    <w:p w14:paraId="7C62F4D2">
      <w:pPr>
        <w:pStyle w:val="4"/>
        <w:ind w:firstLine="560"/>
        <w:rPr>
          <w:rFonts w:hint="eastAsia" w:asciiTheme="minorEastAsia" w:hAnsiTheme="minorEastAsia" w:eastAsiaTheme="minorEastAsia" w:cstheme="minorEastAsia"/>
          <w:lang w:eastAsia="zh-Hans"/>
        </w:rPr>
      </w:pPr>
      <w:bookmarkStart w:id="20" w:name="_Toc223006230"/>
      <w:r>
        <w:rPr>
          <w:rFonts w:hint="eastAsia" w:asciiTheme="minorEastAsia" w:hAnsiTheme="minorEastAsia" w:eastAsiaTheme="minorEastAsia" w:cstheme="minorEastAsia"/>
          <w:lang w:eastAsia="zh-Hans"/>
        </w:rPr>
        <w:t>4.2 资源承接方的义务</w:t>
      </w:r>
      <w:bookmarkEnd w:id="20"/>
    </w:p>
    <w:p w14:paraId="7B57170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4.2.1 支付经营权出让价款</w:t>
      </w:r>
    </w:p>
    <w:p w14:paraId="571B090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资源承接方应在本协议签订后</w:t>
      </w: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lang w:eastAsia="zh-Hans"/>
        </w:rPr>
        <w:t>个月内，向实施机构指定账户一次性转账支付经营权出让价款。</w:t>
      </w:r>
    </w:p>
    <w:p w14:paraId="43367F9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4.2.2 提供履约担保</w:t>
      </w:r>
    </w:p>
    <w:p w14:paraId="1CCA0EE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资源承接方应当按照协议条款第 5 条的约定向实施机构提交履约保证金。</w:t>
      </w:r>
    </w:p>
    <w:p w14:paraId="52A9B1D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4.2.</w:t>
      </w: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Hans"/>
        </w:rPr>
        <w:t>针对项目设施及资产进行必要维护</w:t>
      </w:r>
    </w:p>
    <w:p w14:paraId="531779E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资源承接方应当在合作期间内对项目设施和资产履行必要的维护和看管义务，确保项目设施和资产始终维持符合规范及运营标准的要求。</w:t>
      </w:r>
    </w:p>
    <w:p w14:paraId="37006A7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4.2.</w:t>
      </w:r>
      <w:r>
        <w:rPr>
          <w:rFonts w:hint="eastAsia" w:asciiTheme="minorEastAsia" w:hAnsiTheme="minorEastAsia" w:eastAsiaTheme="minorEastAsia" w:cstheme="minorEastAsia"/>
        </w:rPr>
        <w:t>4</w:t>
      </w:r>
      <w:r>
        <w:rPr>
          <w:rFonts w:hint="eastAsia" w:asciiTheme="minorEastAsia" w:hAnsiTheme="minorEastAsia" w:eastAsiaTheme="minorEastAsia" w:cstheme="minorEastAsia"/>
          <w:lang w:eastAsia="zh-Hans"/>
        </w:rPr>
        <w:t>完成移交</w:t>
      </w:r>
    </w:p>
    <w:p w14:paraId="2601614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根据实施机构审核通过的移交方案，在移交期内向实施机构或其指定的第三人移交其占有及使用的项目资产、项目设施（包含履约过程中更新的设备）、项目场地、十二个月的备品、转让相关运营维护保修合约以及相关档案等。</w:t>
      </w:r>
    </w:p>
    <w:p w14:paraId="1DFC9E0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4.2.</w:t>
      </w:r>
      <w:r>
        <w:rPr>
          <w:rFonts w:hint="eastAsia" w:asciiTheme="minorEastAsia" w:hAnsiTheme="minorEastAsia" w:eastAsiaTheme="minorEastAsia" w:cstheme="minorEastAsia"/>
        </w:rPr>
        <w:t>5</w:t>
      </w:r>
      <w:r>
        <w:rPr>
          <w:rFonts w:hint="eastAsia" w:asciiTheme="minorEastAsia" w:hAnsiTheme="minorEastAsia" w:eastAsiaTheme="minorEastAsia" w:cstheme="minorEastAsia"/>
          <w:lang w:eastAsia="zh-Hans"/>
        </w:rPr>
        <w:t>购买保险</w:t>
      </w:r>
    </w:p>
    <w:p w14:paraId="7F4855B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合作期间内，资源承接方应根据适用法律和谨慎运营惯例，自费购买和维持协议的保险。</w:t>
      </w:r>
    </w:p>
    <w:p w14:paraId="150CB35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4.2.</w:t>
      </w: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eastAsia="zh-Hans"/>
        </w:rPr>
        <w:t>遵守安全标准和环境保护责任</w:t>
      </w:r>
    </w:p>
    <w:p w14:paraId="23488EB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资源承接方应始终遵守法律关于公共卫生和安全的规定，避免对项目场地和周边环境造成污染，保障本项目各参与方人员的安全，并采取有效措施避免或减少对周边居民的干扰。</w:t>
      </w:r>
    </w:p>
    <w:p w14:paraId="3198876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4.2.</w:t>
      </w:r>
      <w:r>
        <w:rPr>
          <w:rFonts w:hint="eastAsia" w:asciiTheme="minorEastAsia" w:hAnsiTheme="minorEastAsia" w:eastAsiaTheme="minorEastAsia" w:cstheme="minorEastAsia"/>
        </w:rPr>
        <w:t>7</w:t>
      </w:r>
      <w:r>
        <w:rPr>
          <w:rFonts w:hint="eastAsia" w:asciiTheme="minorEastAsia" w:hAnsiTheme="minorEastAsia" w:eastAsiaTheme="minorEastAsia" w:cstheme="minorEastAsia"/>
          <w:lang w:eastAsia="zh-Hans"/>
        </w:rPr>
        <w:t>股权变更限制</w:t>
      </w:r>
    </w:p>
    <w:p w14:paraId="438E803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在合作期间，与合作协议生效日相比如发生公司或项目股权变更，需在变更前将该情况报实施机构，实施机构将对该变更对项目的影响进行评估，如实施机构评估认为该变更会影响项目运营服务的提供和损害政府方利益，资源承接方应配合政府方签订补充协议消除该等影响。</w:t>
      </w:r>
    </w:p>
    <w:p w14:paraId="4CD967A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4.2.</w:t>
      </w:r>
      <w:r>
        <w:rPr>
          <w:rFonts w:hint="eastAsia" w:asciiTheme="minorEastAsia" w:hAnsiTheme="minorEastAsia" w:eastAsiaTheme="minorEastAsia" w:cstheme="minorEastAsia"/>
        </w:rPr>
        <w:t>8</w:t>
      </w:r>
      <w:r>
        <w:rPr>
          <w:rFonts w:hint="eastAsia" w:asciiTheme="minorEastAsia" w:hAnsiTheme="minorEastAsia" w:eastAsiaTheme="minorEastAsia" w:cstheme="minorEastAsia"/>
          <w:lang w:eastAsia="zh-Hans"/>
        </w:rPr>
        <w:t>经营权处分限制</w:t>
      </w:r>
    </w:p>
    <w:p w14:paraId="4B69D81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4.2.</w:t>
      </w:r>
      <w:r>
        <w:rPr>
          <w:rFonts w:hint="eastAsia" w:asciiTheme="minorEastAsia" w:hAnsiTheme="minorEastAsia" w:eastAsiaTheme="minorEastAsia" w:cstheme="minorEastAsia"/>
        </w:rPr>
        <w:t>8.1</w:t>
      </w:r>
      <w:r>
        <w:rPr>
          <w:rFonts w:hint="eastAsia" w:asciiTheme="minorEastAsia" w:hAnsiTheme="minorEastAsia" w:eastAsiaTheme="minorEastAsia" w:cstheme="minorEastAsia"/>
          <w:lang w:eastAsia="zh-Hans"/>
        </w:rPr>
        <w:t xml:space="preserve"> 除本协议另有约定外，未经实施机构事先书面同意，资源承接方在合作期间内不得将经营权出租或以任何形式转让、承包给第三人。包括但不限下列事项：</w:t>
      </w:r>
    </w:p>
    <w:p w14:paraId="3694D31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（a）禁止劳务分包</w:t>
      </w:r>
    </w:p>
    <w:p w14:paraId="0671D05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运营期内，资源承接方应当根据协议条款的约定，与全体实际参与项目服务的员工签订书面劳动协议、建立工资及养老关系，但资源承接方作为用工单位接收符合法定数额的劳务派遣人员除外。</w:t>
      </w:r>
    </w:p>
    <w:p w14:paraId="5751CCE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（b）禁止运营服务转包或分包</w:t>
      </w:r>
    </w:p>
    <w:p w14:paraId="782DAD9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运营期内，资源承接方未经实施机构同意，不得就运营范围及服务内容对外进行任何形式的转包或分包，资源承接方以下行为视为资源承接方对外转包或分包：</w:t>
      </w:r>
    </w:p>
    <w:p w14:paraId="0B68D87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i.资源承接方将全部或部分运营服务内容转给其他单位或个人完成的；</w:t>
      </w:r>
    </w:p>
    <w:p w14:paraId="50441A3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ii.任何参与项目服务的人员，没有订立劳动协议且没有建立劳动关系和社会养老保险关系，资源承接方不能进行合理解释并提供相应证明材料的；</w:t>
      </w:r>
    </w:p>
    <w:p w14:paraId="5FAEFF3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iii.其他任何单位或个人代资源承接方履行本协议约定的运营义务，资源承接方无法进行合理解释并提供相应证明材料的；</w:t>
      </w:r>
    </w:p>
    <w:p w14:paraId="5782644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iv.资源承接方与任何单位或个人，采取互助合作、环保志愿者等其他形式或名义为本项目提供运营服务，直接或变相将本协议约定的运营义务转由其他单位或个人提供的；</w:t>
      </w:r>
    </w:p>
    <w:p w14:paraId="404EF76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v.资源承接方收到项目款项后，又将款项转拨给其他单位和个人，无法进行合理解释并提供相应证明材料的。</w:t>
      </w:r>
    </w:p>
    <w:p w14:paraId="3076EA7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4.2.</w:t>
      </w:r>
      <w:r>
        <w:rPr>
          <w:rFonts w:hint="eastAsia" w:asciiTheme="minorEastAsia" w:hAnsiTheme="minorEastAsia" w:eastAsiaTheme="minorEastAsia" w:cstheme="minorEastAsia"/>
        </w:rPr>
        <w:t>9</w:t>
      </w:r>
      <w:r>
        <w:rPr>
          <w:rFonts w:hint="eastAsia" w:asciiTheme="minorEastAsia" w:hAnsiTheme="minorEastAsia" w:eastAsiaTheme="minorEastAsia" w:cstheme="minorEastAsia"/>
          <w:lang w:eastAsia="zh-Hans"/>
        </w:rPr>
        <w:t xml:space="preserve"> 转投资禁止</w:t>
      </w:r>
    </w:p>
    <w:p w14:paraId="5D0C9C5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资源承接方为本项目筹集的资金，必须专款用于本项目，合作期间内非经实施机构的同意，不得将资金转投资，或是将资金用于其他与本项目无关的项目。</w:t>
      </w:r>
    </w:p>
    <w:p w14:paraId="47D74ED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4.2.1</w:t>
      </w:r>
      <w:r>
        <w:rPr>
          <w:rFonts w:hint="eastAsia" w:asciiTheme="minorEastAsia" w:hAnsiTheme="minorEastAsia" w:eastAsiaTheme="minorEastAsia" w:cstheme="minorEastAsia"/>
        </w:rPr>
        <w:t>0</w:t>
      </w:r>
      <w:r>
        <w:rPr>
          <w:rFonts w:hint="eastAsia" w:asciiTheme="minorEastAsia" w:hAnsiTheme="minorEastAsia" w:eastAsiaTheme="minorEastAsia" w:cstheme="minorEastAsia"/>
          <w:lang w:eastAsia="zh-Hans"/>
        </w:rPr>
        <w:t xml:space="preserve"> 合法取得知识产权义务</w:t>
      </w:r>
    </w:p>
    <w:p w14:paraId="29F74FC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资源承接方承诺因履行协议所使用之知识产权均以合法方式取得，如因非法取得知识产权，致使第三人对于实施机构提出赔偿，资源承接方应负担相关之费用及责任。</w:t>
      </w:r>
    </w:p>
    <w:p w14:paraId="0FBCC42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4.2.1</w:t>
      </w: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eastAsia="zh-Hans"/>
        </w:rPr>
        <w:t xml:space="preserve"> 资源承接方用人责任</w:t>
      </w:r>
    </w:p>
    <w:p w14:paraId="57BD3EB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资源承接方因履行协议所聘用、委任、指派第三人履约的，资源承接方应对第三人的行为承担责任。</w:t>
      </w:r>
    </w:p>
    <w:p w14:paraId="121AED3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4.2.1</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Hans"/>
        </w:rPr>
        <w:t xml:space="preserve"> 报告义务</w:t>
      </w:r>
    </w:p>
    <w:p w14:paraId="2E09F89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资源承接方应当在下列事项发生时，向实施机构提交书面报告：</w:t>
      </w:r>
    </w:p>
    <w:p w14:paraId="4F92B4D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（a）资源承接方变更名称、地址及法定代表人。</w:t>
      </w:r>
    </w:p>
    <w:p w14:paraId="4A314D5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（b）资源承接方的股权发生变更的。</w:t>
      </w:r>
    </w:p>
    <w:p w14:paraId="6071C2C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（c）本项目的股权发生变更的。</w:t>
      </w:r>
    </w:p>
    <w:p w14:paraId="074A058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（d）与融资方签订的贷款协议内容有变更的。</w:t>
      </w:r>
    </w:p>
    <w:p w14:paraId="3DC3504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（e）资源承接方履行协议有重大影响的事项。</w:t>
      </w:r>
    </w:p>
    <w:p w14:paraId="08EBA92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（f）实施机构代表对资源承接方要求和指示的事项。</w:t>
      </w:r>
    </w:p>
    <w:p w14:paraId="53C4420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4.2.1</w:t>
      </w: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Hans"/>
        </w:rPr>
        <w:t xml:space="preserve"> 接受监管义务</w:t>
      </w:r>
    </w:p>
    <w:p w14:paraId="2B2728F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资源承接方在履行协议过程中应遵守法律并接受实施机构、实施机构代表的监管，履行对社会公益性事业应尽的协议义务。</w:t>
      </w:r>
    </w:p>
    <w:p w14:paraId="185A8A2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4.2.1</w:t>
      </w:r>
      <w:r>
        <w:rPr>
          <w:rFonts w:hint="eastAsia" w:asciiTheme="minorEastAsia" w:hAnsiTheme="minorEastAsia" w:eastAsiaTheme="minorEastAsia" w:cstheme="minorEastAsia"/>
        </w:rPr>
        <w:t>4</w:t>
      </w:r>
      <w:r>
        <w:rPr>
          <w:rFonts w:hint="eastAsia" w:asciiTheme="minorEastAsia" w:hAnsiTheme="minorEastAsia" w:eastAsiaTheme="minorEastAsia" w:cstheme="minorEastAsia"/>
          <w:lang w:eastAsia="zh-Hans"/>
        </w:rPr>
        <w:t xml:space="preserve"> 守法纳税义务</w:t>
      </w:r>
    </w:p>
    <w:p w14:paraId="6473DE6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资源承接方在履行协议过程中应遵守法律，按照相关法律规定纳税。</w:t>
      </w:r>
    </w:p>
    <w:p w14:paraId="4C26F6A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4.2.1</w:t>
      </w:r>
      <w:r>
        <w:rPr>
          <w:rFonts w:hint="eastAsia" w:asciiTheme="minorEastAsia" w:hAnsiTheme="minorEastAsia" w:eastAsiaTheme="minorEastAsia" w:cstheme="minorEastAsia"/>
        </w:rPr>
        <w:t>5</w:t>
      </w:r>
      <w:r>
        <w:rPr>
          <w:rFonts w:hint="eastAsia" w:asciiTheme="minorEastAsia" w:hAnsiTheme="minorEastAsia" w:eastAsiaTheme="minorEastAsia" w:cstheme="minorEastAsia"/>
          <w:lang w:eastAsia="zh-Hans"/>
        </w:rPr>
        <w:t xml:space="preserve"> 建立相应规章制度义务</w:t>
      </w:r>
    </w:p>
    <w:p w14:paraId="0DD0F5C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资源承接方应按停车管理相关法律、法规以及政策规定接受实施机构及相关行业主管部门的日常监督管理，建立停车位收费管理相应的规章制度，并提交实施机构备案。</w:t>
      </w:r>
    </w:p>
    <w:p w14:paraId="2470B07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4.2.</w:t>
      </w:r>
      <w:r>
        <w:rPr>
          <w:rFonts w:hint="eastAsia" w:asciiTheme="minorEastAsia" w:hAnsiTheme="minorEastAsia" w:eastAsiaTheme="minorEastAsia" w:cstheme="minorEastAsia"/>
        </w:rPr>
        <w:t>16</w:t>
      </w:r>
      <w:r>
        <w:rPr>
          <w:rFonts w:hint="eastAsia" w:asciiTheme="minorEastAsia" w:hAnsiTheme="minorEastAsia" w:eastAsiaTheme="minorEastAsia" w:cstheme="minorEastAsia"/>
          <w:lang w:eastAsia="zh-Hans"/>
        </w:rPr>
        <w:t xml:space="preserve"> 其他义务</w:t>
      </w:r>
    </w:p>
    <w:p w14:paraId="122EF71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资源承接方应履行协议约定的其他义务。</w:t>
      </w:r>
    </w:p>
    <w:p w14:paraId="2ECACF41">
      <w:pPr>
        <w:pStyle w:val="4"/>
        <w:ind w:firstLine="560"/>
        <w:rPr>
          <w:rFonts w:hint="eastAsia" w:asciiTheme="minorEastAsia" w:hAnsiTheme="minorEastAsia" w:eastAsiaTheme="minorEastAsia" w:cstheme="minorEastAsia"/>
          <w:lang w:eastAsia="zh-Hans"/>
        </w:rPr>
      </w:pPr>
      <w:bookmarkStart w:id="21" w:name="_Toc223006231"/>
      <w:r>
        <w:rPr>
          <w:rFonts w:hint="eastAsia" w:asciiTheme="minorEastAsia" w:hAnsiTheme="minorEastAsia" w:eastAsiaTheme="minorEastAsia" w:cstheme="minorEastAsia"/>
          <w:lang w:eastAsia="zh-Hans"/>
        </w:rPr>
        <w:t>4.3 资源承接方的权利</w:t>
      </w:r>
      <w:bookmarkEnd w:id="21"/>
    </w:p>
    <w:p w14:paraId="357DC18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4.3.1 取得收入</w:t>
      </w:r>
    </w:p>
    <w:p w14:paraId="34768534">
      <w:pPr>
        <w:ind w:firstLine="56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Hans"/>
        </w:rPr>
        <w:t>资源承接方有权收取项目授权范围内停车位收入。</w:t>
      </w:r>
    </w:p>
    <w:p w14:paraId="41E0ECF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4.3.2 免费使用场地</w:t>
      </w:r>
    </w:p>
    <w:p w14:paraId="6CEF87B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资源承接方在合作间有无偿使用项目场地的权利。</w:t>
      </w:r>
    </w:p>
    <w:p w14:paraId="3C37267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4.3.3 免费使用项目资产及设施设备</w:t>
      </w:r>
    </w:p>
    <w:p w14:paraId="2ACC788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对于本项目的项目资产及设施设备，资源承接方在合作期间内有无偿使用的权利。</w:t>
      </w:r>
    </w:p>
    <w:p w14:paraId="0138BB33">
      <w:pPr>
        <w:pStyle w:val="4"/>
        <w:ind w:firstLine="560"/>
        <w:rPr>
          <w:rFonts w:hint="eastAsia" w:asciiTheme="minorEastAsia" w:hAnsiTheme="minorEastAsia" w:eastAsiaTheme="minorEastAsia" w:cstheme="minorEastAsia"/>
          <w:lang w:eastAsia="zh-Hans"/>
        </w:rPr>
      </w:pPr>
      <w:bookmarkStart w:id="22" w:name="_Toc223006232"/>
      <w:r>
        <w:rPr>
          <w:rFonts w:hint="eastAsia" w:asciiTheme="minorEastAsia" w:hAnsiTheme="minorEastAsia" w:eastAsiaTheme="minorEastAsia" w:cstheme="minorEastAsia"/>
          <w:lang w:eastAsia="zh-Hans"/>
        </w:rPr>
        <w:t>4.4 资源承接方代表</w:t>
      </w:r>
      <w:bookmarkEnd w:id="22"/>
    </w:p>
    <w:p w14:paraId="78723312">
      <w:pPr>
        <w:ind w:firstLine="56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Hans"/>
        </w:rPr>
        <w:t>资源承接方授权资源承接方代表根据协议履约，资源承接方代表被视为具有协议约定全部资源承接方的权利。如资源承接方替换资源承接方代表，应在不少于 14 日前，将替换人选的人员信息以及任命日期通知实施机构。</w:t>
      </w:r>
    </w:p>
    <w:p w14:paraId="1E23BCC5">
      <w:pPr>
        <w:pStyle w:val="3"/>
        <w:ind w:firstLine="560"/>
        <w:rPr>
          <w:rFonts w:hint="eastAsia" w:asciiTheme="minorEastAsia" w:hAnsiTheme="minorEastAsia" w:eastAsiaTheme="minorEastAsia" w:cstheme="minorEastAsia"/>
          <w:lang w:eastAsia="zh-Hans"/>
        </w:rPr>
      </w:pPr>
      <w:bookmarkStart w:id="23" w:name="_Toc223006233"/>
      <w:r>
        <w:rPr>
          <w:rFonts w:hint="eastAsia" w:asciiTheme="minorEastAsia" w:hAnsiTheme="minorEastAsia" w:eastAsiaTheme="minorEastAsia" w:cstheme="minorEastAsia"/>
          <w:lang w:eastAsia="zh-Hans"/>
        </w:rPr>
        <w:t>5.履约担保</w:t>
      </w:r>
      <w:bookmarkEnd w:id="23"/>
    </w:p>
    <w:p w14:paraId="5C0D9886">
      <w:pPr>
        <w:ind w:firstLine="56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Hans"/>
        </w:rPr>
        <w:t>本项目履约保证金缴纳比例为:0.23</w:t>
      </w:r>
      <w:bookmarkStart w:id="117" w:name="_GoBack"/>
      <w:bookmarkEnd w:id="117"/>
      <w:r>
        <w:rPr>
          <w:rFonts w:hint="eastAsia" w:asciiTheme="minorEastAsia" w:hAnsiTheme="minorEastAsia" w:eastAsiaTheme="minorEastAsia" w:cstheme="minorEastAsia"/>
          <w:lang w:val="en-US" w:eastAsia="zh-Hans"/>
        </w:rPr>
        <w:t>%</w:t>
      </w:r>
      <w:r>
        <w:rPr>
          <w:rFonts w:hint="eastAsia" w:asciiTheme="minorEastAsia" w:hAnsiTheme="minorEastAsia" w:eastAsiaTheme="minorEastAsia" w:cstheme="minorEastAsia"/>
          <w:lang w:eastAsia="zh-Hans"/>
        </w:rPr>
        <w:t>，由乙方向甲方提交，可通过履约保函等形式提交，具体由甲乙双方协商。</w:t>
      </w:r>
    </w:p>
    <w:p w14:paraId="10A1270C">
      <w:pPr>
        <w:pStyle w:val="3"/>
        <w:numPr>
          <w:ilvl w:val="0"/>
          <w:numId w:val="1"/>
        </w:numPr>
        <w:ind w:firstLine="560"/>
        <w:rPr>
          <w:rFonts w:hint="eastAsia" w:asciiTheme="minorEastAsia" w:hAnsiTheme="minorEastAsia" w:eastAsiaTheme="minorEastAsia" w:cstheme="minorEastAsia"/>
          <w:lang w:eastAsia="zh-Hans"/>
        </w:rPr>
      </w:pPr>
      <w:bookmarkStart w:id="24" w:name="_Toc223006234"/>
      <w:r>
        <w:rPr>
          <w:rFonts w:hint="eastAsia" w:asciiTheme="minorEastAsia" w:hAnsiTheme="minorEastAsia" w:eastAsiaTheme="minorEastAsia" w:cstheme="minorEastAsia"/>
          <w:lang w:eastAsia="zh-Hans"/>
        </w:rPr>
        <w:t>项目资金使用管理</w:t>
      </w:r>
      <w:bookmarkEnd w:id="24"/>
    </w:p>
    <w:p w14:paraId="0A55AD9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双方在此确认，在本协议生效日后，为确保项目资金专款专用，资源承接方应按规定及时开设项目资金专用账户，在不影响项目建设和运营的前提下，实施机构有权对专用账户中的项目资金使用情况进行监督和检查，资源承接方应予以配合。资源承接方应独立进行合作期的资金使用和财务核算，项目资金不得用于与本项目无关的经济活动。</w:t>
      </w:r>
    </w:p>
    <w:p w14:paraId="19CB97BA">
      <w:pPr>
        <w:pStyle w:val="3"/>
        <w:ind w:firstLine="560"/>
        <w:rPr>
          <w:rFonts w:hint="eastAsia" w:asciiTheme="minorEastAsia" w:hAnsiTheme="minorEastAsia" w:eastAsiaTheme="minorEastAsia" w:cstheme="minorEastAsia"/>
          <w:lang w:eastAsia="zh-Hans"/>
        </w:rPr>
      </w:pPr>
      <w:bookmarkStart w:id="25" w:name="_Toc223006235"/>
      <w:r>
        <w:rPr>
          <w:rFonts w:hint="eastAsia" w:asciiTheme="minorEastAsia" w:hAnsiTheme="minorEastAsia" w:eastAsiaTheme="minorEastAsia" w:cstheme="minorEastAsia"/>
          <w:lang w:eastAsia="zh-Hans"/>
        </w:rPr>
        <w:t>7.准备阶段</w:t>
      </w:r>
      <w:bookmarkEnd w:id="25"/>
    </w:p>
    <w:p w14:paraId="328878FD">
      <w:pPr>
        <w:pStyle w:val="4"/>
        <w:ind w:firstLine="560"/>
        <w:rPr>
          <w:rFonts w:hint="eastAsia" w:asciiTheme="minorEastAsia" w:hAnsiTheme="minorEastAsia" w:eastAsiaTheme="minorEastAsia" w:cstheme="minorEastAsia"/>
          <w:lang w:eastAsia="zh-Hans"/>
        </w:rPr>
      </w:pPr>
      <w:bookmarkStart w:id="26" w:name="_Toc223006236"/>
      <w:r>
        <w:rPr>
          <w:rFonts w:hint="eastAsia" w:asciiTheme="minorEastAsia" w:hAnsiTheme="minorEastAsia" w:eastAsiaTheme="minorEastAsia" w:cstheme="minorEastAsia"/>
          <w:lang w:eastAsia="zh-Hans"/>
        </w:rPr>
        <w:t>7.1 准备阶段期间的计算</w:t>
      </w:r>
      <w:bookmarkEnd w:id="26"/>
    </w:p>
    <w:p w14:paraId="38964127">
      <w:pPr>
        <w:ind w:firstLine="56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Hans"/>
        </w:rPr>
        <w:t>自协议生效日起至预计运营日止为准备阶段，资源承接方应在此期间内完成</w:t>
      </w:r>
      <w:bookmarkStart w:id="27" w:name="OLE_LINK1"/>
      <w:r>
        <w:rPr>
          <w:rFonts w:hint="eastAsia" w:asciiTheme="minorEastAsia" w:hAnsiTheme="minorEastAsia" w:eastAsiaTheme="minorEastAsia" w:cstheme="minorEastAsia"/>
          <w:lang w:eastAsia="zh-Hans"/>
        </w:rPr>
        <w:t>运营</w:t>
      </w:r>
      <w:bookmarkEnd w:id="27"/>
      <w:r>
        <w:rPr>
          <w:rFonts w:hint="eastAsia" w:asciiTheme="minorEastAsia" w:hAnsiTheme="minorEastAsia" w:eastAsiaTheme="minorEastAsia" w:cstheme="minorEastAsia"/>
          <w:lang w:eastAsia="zh-Hans"/>
        </w:rPr>
        <w:t>前的准备工作。</w:t>
      </w:r>
    </w:p>
    <w:p w14:paraId="774E3454">
      <w:pPr>
        <w:pStyle w:val="4"/>
        <w:ind w:firstLine="560"/>
        <w:rPr>
          <w:rFonts w:hint="eastAsia" w:asciiTheme="minorEastAsia" w:hAnsiTheme="minorEastAsia" w:eastAsiaTheme="minorEastAsia" w:cstheme="minorEastAsia"/>
          <w:lang w:eastAsia="zh-Hans"/>
        </w:rPr>
      </w:pPr>
      <w:bookmarkStart w:id="28" w:name="_Toc223006237"/>
      <w:r>
        <w:rPr>
          <w:rFonts w:hint="eastAsia" w:asciiTheme="minorEastAsia" w:hAnsiTheme="minorEastAsia" w:eastAsiaTheme="minorEastAsia" w:cstheme="minorEastAsia"/>
          <w:lang w:eastAsia="zh-Hans"/>
        </w:rPr>
        <w:t>7.2 实施机构在准备阶段应完成的工作</w:t>
      </w:r>
      <w:bookmarkEnd w:id="28"/>
    </w:p>
    <w:p w14:paraId="0E3A7F7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实施机构应协调</w:t>
      </w:r>
      <w:r>
        <w:rPr>
          <w:rFonts w:hint="eastAsia" w:asciiTheme="minorEastAsia" w:hAnsiTheme="minorEastAsia" w:eastAsiaTheme="minorEastAsia" w:cstheme="minorEastAsia"/>
        </w:rPr>
        <w:t>西安国家民用航天产业基地管理委员会</w:t>
      </w:r>
      <w:r>
        <w:rPr>
          <w:rFonts w:hint="eastAsia" w:asciiTheme="minorEastAsia" w:hAnsiTheme="minorEastAsia" w:eastAsiaTheme="minorEastAsia" w:cstheme="minorEastAsia"/>
          <w:lang w:eastAsia="zh-Hans"/>
        </w:rPr>
        <w:t>于预计运营日前，办理完成停车位</w:t>
      </w:r>
      <w:bookmarkStart w:id="29" w:name="OLE_LINK5"/>
      <w:r>
        <w:rPr>
          <w:rFonts w:hint="eastAsia" w:asciiTheme="minorEastAsia" w:hAnsiTheme="minorEastAsia" w:eastAsiaTheme="minorEastAsia" w:cstheme="minorEastAsia"/>
          <w:lang w:eastAsia="zh-Hans"/>
        </w:rPr>
        <w:t>经营权</w:t>
      </w:r>
      <w:bookmarkEnd w:id="29"/>
      <w:r>
        <w:rPr>
          <w:rFonts w:hint="eastAsia" w:asciiTheme="minorEastAsia" w:hAnsiTheme="minorEastAsia" w:eastAsiaTheme="minorEastAsia" w:cstheme="minorEastAsia"/>
          <w:lang w:eastAsia="zh-Hans"/>
        </w:rPr>
        <w:t>移交的前期手续，向资源承接方交付符合运营条件的项目场地。</w:t>
      </w:r>
    </w:p>
    <w:p w14:paraId="7537CE84">
      <w:pPr>
        <w:pStyle w:val="4"/>
        <w:ind w:firstLine="560"/>
        <w:rPr>
          <w:rFonts w:hint="eastAsia" w:asciiTheme="minorEastAsia" w:hAnsiTheme="minorEastAsia" w:eastAsiaTheme="minorEastAsia" w:cstheme="minorEastAsia"/>
          <w:lang w:eastAsia="zh-Hans"/>
        </w:rPr>
      </w:pPr>
      <w:bookmarkStart w:id="30" w:name="_Toc223006238"/>
      <w:r>
        <w:rPr>
          <w:rFonts w:hint="eastAsia" w:asciiTheme="minorEastAsia" w:hAnsiTheme="minorEastAsia" w:eastAsiaTheme="minorEastAsia" w:cstheme="minorEastAsia"/>
          <w:lang w:eastAsia="zh-Hans"/>
        </w:rPr>
        <w:t>7.3 资源承接方在准备期间或之前应完成的工作</w:t>
      </w:r>
      <w:bookmarkEnd w:id="30"/>
    </w:p>
    <w:p w14:paraId="78FA8E3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经营权出让价款、项目建设所需的相应资金到位；</w:t>
      </w:r>
    </w:p>
    <w:p w14:paraId="60A5E762">
      <w:pPr>
        <w:pStyle w:val="4"/>
        <w:ind w:firstLine="560"/>
        <w:rPr>
          <w:rFonts w:hint="eastAsia" w:asciiTheme="minorEastAsia" w:hAnsiTheme="minorEastAsia" w:eastAsiaTheme="minorEastAsia" w:cstheme="minorEastAsia"/>
          <w:lang w:eastAsia="zh-Hans"/>
        </w:rPr>
      </w:pPr>
      <w:bookmarkStart w:id="31" w:name="_Toc223006239"/>
      <w:r>
        <w:rPr>
          <w:rFonts w:hint="eastAsia" w:asciiTheme="minorEastAsia" w:hAnsiTheme="minorEastAsia" w:eastAsiaTheme="minorEastAsia" w:cstheme="minorEastAsia"/>
          <w:lang w:eastAsia="zh-Hans"/>
        </w:rPr>
        <w:t>7.4 前期工作与前期费用</w:t>
      </w:r>
      <w:bookmarkEnd w:id="31"/>
    </w:p>
    <w:p w14:paraId="57AA8AD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项目前期工作包括项目基本情况摸底调研、可行性研究、存量资产经营权评估、经营权实施方案、项目招投标等，以上前期费用，如由资源承接方承担，则在项目决算审计时，计入项目总投资，纳入项目中期评估时投资收益率测算。</w:t>
      </w:r>
    </w:p>
    <w:p w14:paraId="11CF1A01">
      <w:pPr>
        <w:pStyle w:val="3"/>
        <w:ind w:firstLine="560"/>
        <w:rPr>
          <w:rFonts w:hint="eastAsia" w:asciiTheme="minorEastAsia" w:hAnsiTheme="minorEastAsia" w:eastAsiaTheme="minorEastAsia" w:cstheme="minorEastAsia"/>
        </w:rPr>
      </w:pPr>
      <w:bookmarkStart w:id="32" w:name="_Toc223006240"/>
      <w:r>
        <w:rPr>
          <w:rFonts w:hint="eastAsia" w:asciiTheme="minorEastAsia" w:hAnsiTheme="minorEastAsia" w:eastAsiaTheme="minorEastAsia" w:cstheme="minorEastAsia"/>
          <w:lang w:eastAsia="zh-Hans"/>
        </w:rPr>
        <w:t>8. 建设阶段</w:t>
      </w:r>
      <w:bookmarkEnd w:id="32"/>
    </w:p>
    <w:p w14:paraId="462B4A37">
      <w:pPr>
        <w:ind w:firstLine="560"/>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项目实施过程中如涉及建设内容，按照第8节建设阶段和第9节竣工验收与决算条款执行。</w:t>
      </w:r>
    </w:p>
    <w:p w14:paraId="51254505">
      <w:pPr>
        <w:pStyle w:val="4"/>
        <w:ind w:firstLine="560"/>
        <w:rPr>
          <w:rFonts w:hint="eastAsia" w:asciiTheme="minorEastAsia" w:hAnsiTheme="minorEastAsia" w:eastAsiaTheme="minorEastAsia" w:cstheme="minorEastAsia"/>
          <w:lang w:eastAsia="zh-Hans"/>
        </w:rPr>
      </w:pPr>
      <w:bookmarkStart w:id="33" w:name="_Toc223006241"/>
      <w:r>
        <w:rPr>
          <w:rFonts w:hint="eastAsia" w:asciiTheme="minorEastAsia" w:hAnsiTheme="minorEastAsia" w:eastAsiaTheme="minorEastAsia" w:cstheme="minorEastAsia"/>
          <w:lang w:eastAsia="zh-Hans"/>
        </w:rPr>
        <w:t>8.1 建设基本要求</w:t>
      </w:r>
      <w:bookmarkEnd w:id="33"/>
    </w:p>
    <w:p w14:paraId="1DD5C00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资源承接方应按照以下基本要求完成项目建设（本项目工程建设内容包括货物采购、工程施工）：</w:t>
      </w:r>
    </w:p>
    <w:p w14:paraId="2C356BD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8.1.1 按照法律规定、规范及协议要求完成本项目的建设工作。</w:t>
      </w:r>
    </w:p>
    <w:p w14:paraId="18761A8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8.1.2 资源承接方应按照协议的要求建立质量保证体系，监理机构有权对资源承接方的质量保证进行审查。</w:t>
      </w:r>
    </w:p>
    <w:p w14:paraId="05E377B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8.1.3 资源承接方应按照协议约定和进度要求编制施工组织和实施计划，并对所有的施工作业和施工方法以及全部工程的完备性和可靠性负责。</w:t>
      </w:r>
    </w:p>
    <w:p w14:paraId="027491C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8.1.4 资源承接方应按照协议的约定编制详细的总体进度计划，并提交监理机构审查；资源承接方应当按照审查后的总体进度计划，针对工程的各阶段编制分项进度计划并提交监理机构审批，资源承接方应根据审批后的总体进度计划和分项进度计划进行施工。</w:t>
      </w:r>
    </w:p>
    <w:p w14:paraId="4D0A5C0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8.1.5 资源承接方应按照协议的约定采取施工安全措施，确保工程、人员、材料的安全，防止因施工造成人身和财产损失，并且资源承接方应负责项目场地周边生态的保护工作。</w:t>
      </w:r>
    </w:p>
    <w:p w14:paraId="2178A035">
      <w:pPr>
        <w:pStyle w:val="4"/>
        <w:ind w:firstLine="560"/>
        <w:rPr>
          <w:rFonts w:hint="eastAsia" w:asciiTheme="minorEastAsia" w:hAnsiTheme="minorEastAsia" w:eastAsiaTheme="minorEastAsia" w:cstheme="minorEastAsia"/>
          <w:lang w:eastAsia="zh-Hans"/>
        </w:rPr>
      </w:pPr>
      <w:bookmarkStart w:id="34" w:name="_Toc223006242"/>
      <w:r>
        <w:rPr>
          <w:rFonts w:hint="eastAsia" w:asciiTheme="minorEastAsia" w:hAnsiTheme="minorEastAsia" w:eastAsiaTheme="minorEastAsia" w:cstheme="minorEastAsia"/>
          <w:lang w:eastAsia="zh-Hans"/>
        </w:rPr>
        <w:t>8.2 建设质量</w:t>
      </w:r>
      <w:bookmarkEnd w:id="34"/>
    </w:p>
    <w:p w14:paraId="2BA6D5D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8.2.1 建设质量要求</w:t>
      </w:r>
    </w:p>
    <w:p w14:paraId="3A656E1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建设质量标准必须符合法律规定、现行国家有关建设施工质量规范和标准，以及本协议的要求。</w:t>
      </w:r>
    </w:p>
    <w:p w14:paraId="603E61C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8.2.2 质量保证措施</w:t>
      </w:r>
    </w:p>
    <w:p w14:paraId="5439997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8.2.2.1 实施机构的质量管理</w:t>
      </w:r>
    </w:p>
    <w:p w14:paraId="40C1F87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实施机构应按照法律规定及协议约定完成与工程质量有关的各项工作。</w:t>
      </w:r>
    </w:p>
    <w:p w14:paraId="6C6700C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8.2.2.2 资源承接方的质量管理</w:t>
      </w:r>
    </w:p>
    <w:p w14:paraId="469651B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按照法律规定和实施机构、监理机构的要求，对材料、项目设备以及工程的所有部位及其施工工艺进行全过程的质量检查和检验，并作详细记录，编制工程质量报表，报送实施机构、监理机构审查。此外，资源承接方应按照法律规定和监理机构的要求，进行设备性能检测，提交试验报告和测量成果以及其他工作。</w:t>
      </w:r>
    </w:p>
    <w:p w14:paraId="0FCA084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8.2.3 不合格工程的处理</w:t>
      </w:r>
    </w:p>
    <w:p w14:paraId="54ACCFC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因资源承接方原因造成工程不合格的，实施机构或监理机构有权随时要求资源承接方采取补救措施，直至达到国家标准、协议要求的质量标准，由此增加的费用和（或）延误的工期由资源承接方承担。</w:t>
      </w:r>
    </w:p>
    <w:p w14:paraId="04ACF246">
      <w:pPr>
        <w:pStyle w:val="4"/>
        <w:ind w:firstLine="560"/>
        <w:rPr>
          <w:rFonts w:hint="eastAsia" w:asciiTheme="minorEastAsia" w:hAnsiTheme="minorEastAsia" w:eastAsiaTheme="minorEastAsia" w:cstheme="minorEastAsia"/>
          <w:lang w:eastAsia="zh-Hans"/>
        </w:rPr>
      </w:pPr>
      <w:bookmarkStart w:id="35" w:name="_Toc223006243"/>
      <w:r>
        <w:rPr>
          <w:rFonts w:hint="eastAsia" w:asciiTheme="minorEastAsia" w:hAnsiTheme="minorEastAsia" w:eastAsiaTheme="minorEastAsia" w:cstheme="minorEastAsia"/>
          <w:lang w:eastAsia="zh-Hans"/>
        </w:rPr>
        <w:t>8.3 安全文明施工与环境保护</w:t>
      </w:r>
      <w:bookmarkEnd w:id="35"/>
    </w:p>
    <w:p w14:paraId="79D7122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8.3.1 安全文明施工</w:t>
      </w:r>
    </w:p>
    <w:p w14:paraId="4ADFB71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资源承接方应当遵守国家和工程所在地有关安全生产及文明施工的要求，建立安全生产责任制度，落实安全文明施工。</w:t>
      </w:r>
    </w:p>
    <w:p w14:paraId="037F8FE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在工程实施期间或移交缺陷责任期内发生危及工程安全的事件，资源承接方应当立即进行抢救并通知实施机构、监理机构，资源承接方不立即执行的，实施机构或监理机构有权雇佣其他人员进行抢救，费用由资源承接方承担。</w:t>
      </w:r>
    </w:p>
    <w:p w14:paraId="4FC03A4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8.3.2 职业健康</w:t>
      </w:r>
    </w:p>
    <w:p w14:paraId="1C8899D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按照法律规定保障现场施工人员的劳动安全，并提供劳动保护，并应按照国家有关劳动保护的规定，采取有效地防止粉尘、降低噪声、控制有害气体和保障高温、高寒、高空作业安全等劳动保护措施。资源承接方雇佣人员在施工中受到伤害的，资源承接方应立即采取有效措施进行抢救和治疗。</w:t>
      </w:r>
    </w:p>
    <w:p w14:paraId="3F81F9E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8.3.3 环境保护</w:t>
      </w:r>
    </w:p>
    <w:p w14:paraId="785E2E3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采取有效措施，避免因施工造成的地质灾害，并按国家饮用水管理标准定期对饮用水源进行监测，防止施工活动污染饮用水源，以及加强对噪声、粉尘、废气、废水和废油的控制，努力降低噪声，控制粉尘和废气浓度，做好废水和废油的治理和排放。</w:t>
      </w:r>
    </w:p>
    <w:p w14:paraId="501F3557">
      <w:pPr>
        <w:pStyle w:val="4"/>
        <w:ind w:firstLine="560"/>
        <w:rPr>
          <w:rFonts w:hint="eastAsia" w:asciiTheme="minorEastAsia" w:hAnsiTheme="minorEastAsia" w:eastAsiaTheme="minorEastAsia" w:cstheme="minorEastAsia"/>
          <w:lang w:eastAsia="zh-Hans"/>
        </w:rPr>
      </w:pPr>
      <w:bookmarkStart w:id="36" w:name="_Toc223006244"/>
      <w:r>
        <w:rPr>
          <w:rFonts w:hint="eastAsia" w:asciiTheme="minorEastAsia" w:hAnsiTheme="minorEastAsia" w:eastAsiaTheme="minorEastAsia" w:cstheme="minorEastAsia"/>
          <w:lang w:eastAsia="zh-Hans"/>
        </w:rPr>
        <w:t>8.4 工期与进度</w:t>
      </w:r>
      <w:bookmarkEnd w:id="36"/>
    </w:p>
    <w:p w14:paraId="584E2A2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8.4.1资源承接方应合理安排前期准备、货物采购、工程建设施工、工程验收等工作，确保工程如期完成并投入运营。</w:t>
      </w:r>
    </w:p>
    <w:p w14:paraId="49B3714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8.4.2 本项目因资源承接方原因，如施工批准延误、建设资金不到位、施工进度缓慢、工程质量不达标等造成商业运营日推迟，运营期不足，该损失由资源承接方承担，合作期限不予调整。</w:t>
      </w:r>
    </w:p>
    <w:p w14:paraId="040CC413">
      <w:pPr>
        <w:pStyle w:val="3"/>
        <w:ind w:firstLine="560"/>
        <w:rPr>
          <w:rFonts w:hint="eastAsia" w:asciiTheme="minorEastAsia" w:hAnsiTheme="minorEastAsia" w:eastAsiaTheme="minorEastAsia" w:cstheme="minorEastAsia"/>
          <w:lang w:eastAsia="zh-Hans"/>
        </w:rPr>
      </w:pPr>
      <w:bookmarkStart w:id="37" w:name="_Toc223006245"/>
      <w:r>
        <w:rPr>
          <w:rFonts w:hint="eastAsia" w:asciiTheme="minorEastAsia" w:hAnsiTheme="minorEastAsia" w:eastAsiaTheme="minorEastAsia" w:cstheme="minorEastAsia"/>
          <w:lang w:eastAsia="zh-Hans"/>
        </w:rPr>
        <w:t>9.竣工验收与决算</w:t>
      </w:r>
      <w:bookmarkEnd w:id="37"/>
    </w:p>
    <w:p w14:paraId="78CAD13C">
      <w:pPr>
        <w:pStyle w:val="4"/>
        <w:ind w:firstLine="560"/>
        <w:rPr>
          <w:rFonts w:hint="eastAsia" w:asciiTheme="minorEastAsia" w:hAnsiTheme="minorEastAsia" w:eastAsiaTheme="minorEastAsia" w:cstheme="minorEastAsia"/>
          <w:lang w:eastAsia="zh-Hans"/>
        </w:rPr>
      </w:pPr>
      <w:bookmarkStart w:id="38" w:name="_Toc223006246"/>
      <w:r>
        <w:rPr>
          <w:rFonts w:hint="eastAsia" w:asciiTheme="minorEastAsia" w:hAnsiTheme="minorEastAsia" w:eastAsiaTheme="minorEastAsia" w:cstheme="minorEastAsia"/>
          <w:lang w:eastAsia="zh-Hans"/>
        </w:rPr>
        <w:t>9.1 竣工验收</w:t>
      </w:r>
      <w:bookmarkEnd w:id="38"/>
    </w:p>
    <w:p w14:paraId="17C9DDD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9.1.1 竣工验收的条件</w:t>
      </w:r>
    </w:p>
    <w:p w14:paraId="364F478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本项目通过竣工试验、初步性能测试，以及商业试运行后，资源承接方可以申请竣工验收。</w:t>
      </w:r>
    </w:p>
    <w:p w14:paraId="1A7722F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9.1.2 竣工验收的程序</w:t>
      </w:r>
    </w:p>
    <w:p w14:paraId="678618C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在满足第 9.1.1 条款规定的条件下，资源承接方在提交法定验收合格通知书，竣工试验合格通知书、初步性能测试合格通知书、试运行合格通知书后，向实施机构、监理机构申请竣工验收。实施机构审查认为具备竣工验收的条件，应签发开始商业运营通知书，并在开始商业运营通知书中载明竣工验收合格日期。</w:t>
      </w:r>
    </w:p>
    <w:p w14:paraId="1E7268F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9.1.3 开始商业运营</w:t>
      </w:r>
    </w:p>
    <w:p w14:paraId="26315BD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在竣工验收合格后，资源承接方开始新建部分的商业运营并收取费用。</w:t>
      </w:r>
    </w:p>
    <w:p w14:paraId="4E9D22F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9.1.4 备案</w:t>
      </w:r>
    </w:p>
    <w:p w14:paraId="7D53521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在竣工验收结束后，资源承接方应将实施机构、监理机构要求的相关竣工资料提交给实施机构及其他相关政府部门备案。</w:t>
      </w:r>
    </w:p>
    <w:p w14:paraId="00813FEF">
      <w:pPr>
        <w:pStyle w:val="4"/>
        <w:ind w:firstLine="560"/>
        <w:rPr>
          <w:rFonts w:hint="eastAsia" w:asciiTheme="minorEastAsia" w:hAnsiTheme="minorEastAsia" w:eastAsiaTheme="minorEastAsia" w:cstheme="minorEastAsia"/>
          <w:lang w:eastAsia="zh-Hans"/>
        </w:rPr>
      </w:pPr>
      <w:bookmarkStart w:id="39" w:name="_Toc223006247"/>
      <w:r>
        <w:rPr>
          <w:rFonts w:hint="eastAsia" w:asciiTheme="minorEastAsia" w:hAnsiTheme="minorEastAsia" w:eastAsiaTheme="minorEastAsia" w:cstheme="minorEastAsia"/>
          <w:lang w:eastAsia="zh-Hans"/>
        </w:rPr>
        <w:t>9.2 竣工决算</w:t>
      </w:r>
      <w:bookmarkEnd w:id="39"/>
    </w:p>
    <w:p w14:paraId="797E65C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9.2.1 竣工决算的方式与标准</w:t>
      </w:r>
    </w:p>
    <w:p w14:paraId="0114493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本项目按实际工程数量以及相关定额标准编制决算，并提请政府审计部门进行竣工决算审计。</w:t>
      </w:r>
    </w:p>
    <w:p w14:paraId="024A471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9.2.2 建设期利息的决算</w:t>
      </w:r>
    </w:p>
    <w:p w14:paraId="7694D02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本项目建设期利息采用据实结算方式。</w:t>
      </w:r>
    </w:p>
    <w:p w14:paraId="46018AD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9.2.3 竣工决算的使用</w:t>
      </w:r>
    </w:p>
    <w:p w14:paraId="44384D9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本项目竣工决算价作为无形资产入账、中期评估及提前终止补偿的计算依据。</w:t>
      </w:r>
    </w:p>
    <w:p w14:paraId="3F04B05B">
      <w:pPr>
        <w:pStyle w:val="3"/>
        <w:ind w:firstLine="560"/>
        <w:rPr>
          <w:rFonts w:hint="eastAsia" w:asciiTheme="minorEastAsia" w:hAnsiTheme="minorEastAsia" w:eastAsiaTheme="minorEastAsia" w:cstheme="minorEastAsia"/>
          <w:lang w:eastAsia="zh-Hans"/>
        </w:rPr>
      </w:pPr>
      <w:bookmarkStart w:id="40" w:name="_Toc223006248"/>
      <w:r>
        <w:rPr>
          <w:rFonts w:hint="eastAsia" w:asciiTheme="minorEastAsia" w:hAnsiTheme="minorEastAsia" w:eastAsiaTheme="minorEastAsia" w:cstheme="minorEastAsia"/>
          <w:lang w:eastAsia="zh-Hans"/>
        </w:rPr>
        <w:t>10.运营阶段</w:t>
      </w:r>
      <w:bookmarkEnd w:id="40"/>
    </w:p>
    <w:p w14:paraId="31EE767D">
      <w:pPr>
        <w:pStyle w:val="4"/>
        <w:ind w:firstLine="560"/>
        <w:rPr>
          <w:rFonts w:hint="eastAsia" w:asciiTheme="minorEastAsia" w:hAnsiTheme="minorEastAsia" w:eastAsiaTheme="minorEastAsia" w:cstheme="minorEastAsia"/>
          <w:lang w:eastAsia="zh-Hans"/>
        </w:rPr>
      </w:pPr>
      <w:bookmarkStart w:id="41" w:name="_Toc223006249"/>
      <w:r>
        <w:rPr>
          <w:rFonts w:hint="eastAsia" w:asciiTheme="minorEastAsia" w:hAnsiTheme="minorEastAsia" w:eastAsiaTheme="minorEastAsia" w:cstheme="minorEastAsia"/>
          <w:lang w:eastAsia="zh-Hans"/>
        </w:rPr>
        <w:t>10.1 运营准备</w:t>
      </w:r>
      <w:bookmarkEnd w:id="41"/>
    </w:p>
    <w:p w14:paraId="244474A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10.1.1 运营准备工作</w:t>
      </w:r>
    </w:p>
    <w:p w14:paraId="713CCD7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资源承接方应当在开始商业运营日前，完成以下运营准备工作：</w:t>
      </w:r>
    </w:p>
    <w:p w14:paraId="44A3260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（a）取得相关运营资质及运营许可，以及其他合法运营所需的许可；</w:t>
      </w:r>
    </w:p>
    <w:p w14:paraId="41F76FB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（b）资源承接方应提交运营维护计划和运营维护手册，由实施机构完成备案；</w:t>
      </w:r>
    </w:p>
    <w:p w14:paraId="4C8521F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10.1.2 运营维护计划</w:t>
      </w:r>
    </w:p>
    <w:p w14:paraId="2A749E7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运营维护计划编制的主要内容：包括设备、材料、人员和资金需求计划、运营维护时间计划、小修计划、大中修计划、工作安排等。</w:t>
      </w:r>
    </w:p>
    <w:p w14:paraId="56F08C6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10.1.3 运营维护手册</w:t>
      </w:r>
    </w:p>
    <w:p w14:paraId="6548373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10.1.3.1 运营维护手册的编制</w:t>
      </w:r>
    </w:p>
    <w:p w14:paraId="1E7A4DD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在开始商业运行日之前，资源承接方应根据适用法律和谨慎运营惯例并且按不低于设计的内容和要求，预测主要设备进行更新或重置的时点、设备更新或重置的标准，并编制项目的运营维护手册；运营维护手册经实施机构同意后遵照执行。</w:t>
      </w:r>
    </w:p>
    <w:p w14:paraId="5508C7F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（b）运营维护手册在运营期内应根据项目运营和维护的实际情况随时进行修改、补充和完善，并经实施机构批准后遵照执行。</w:t>
      </w:r>
    </w:p>
    <w:p w14:paraId="4CEBEB3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10.1.3.2 运营维护手册的内容</w:t>
      </w:r>
    </w:p>
    <w:p w14:paraId="11AB04A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（a）运营维护手册应包括项目进行定期和年度检查、日常运行维护、大修维护的程序和计划，以及调整和改进检验及维护安排的程序和计划，并制定应对突发事件的应急服务预案。</w:t>
      </w:r>
    </w:p>
    <w:p w14:paraId="68DD6D0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（b）运营维护手册应列明项目正常运营所需的消耗性备品备件和事故抢修的备品备件。</w:t>
      </w:r>
    </w:p>
    <w:p w14:paraId="11AD806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（c）项目的运营与维护应符合适用法律和中国国家行业规范、标准，资源承接方应建立项目正常运行的生产管理制度、安全生产制度。</w:t>
      </w:r>
    </w:p>
    <w:p w14:paraId="482328AF">
      <w:pPr>
        <w:pStyle w:val="4"/>
        <w:ind w:firstLine="560"/>
        <w:rPr>
          <w:rFonts w:hint="eastAsia" w:asciiTheme="minorEastAsia" w:hAnsiTheme="minorEastAsia" w:eastAsiaTheme="minorEastAsia" w:cstheme="minorEastAsia"/>
          <w:lang w:eastAsia="zh-Hans"/>
        </w:rPr>
      </w:pPr>
      <w:bookmarkStart w:id="42" w:name="_Toc223006250"/>
      <w:r>
        <w:rPr>
          <w:rFonts w:hint="eastAsia" w:asciiTheme="minorEastAsia" w:hAnsiTheme="minorEastAsia" w:eastAsiaTheme="minorEastAsia" w:cstheme="minorEastAsia"/>
          <w:lang w:eastAsia="zh-Hans"/>
        </w:rPr>
        <w:t>10.2 运营服务的标准</w:t>
      </w:r>
      <w:bookmarkEnd w:id="42"/>
    </w:p>
    <w:p w14:paraId="07DCAFC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资源承接方应确保在整个运营期内，始终根据下列规定运营并维护项目设施：</w:t>
      </w:r>
    </w:p>
    <w:p w14:paraId="3850E00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（a）适用法律；</w:t>
      </w:r>
    </w:p>
    <w:p w14:paraId="11AE575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（b）本协议的规定；</w:t>
      </w:r>
    </w:p>
    <w:p w14:paraId="685A4BD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（c）经备案同意的运营维护计划、运营维护手册；</w:t>
      </w:r>
    </w:p>
    <w:p w14:paraId="6B1BAA9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（d）与项目设施有关的设备的制造商提供的一切有关手册、指导和建议；</w:t>
      </w:r>
    </w:p>
    <w:p w14:paraId="1F6CC4B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（e）谨慎运营惯例，除非另有规定。</w:t>
      </w:r>
    </w:p>
    <w:p w14:paraId="2AC27FC3">
      <w:pPr>
        <w:pStyle w:val="4"/>
        <w:ind w:firstLine="560"/>
        <w:rPr>
          <w:rFonts w:hint="eastAsia" w:asciiTheme="minorEastAsia" w:hAnsiTheme="minorEastAsia" w:eastAsiaTheme="minorEastAsia" w:cstheme="minorEastAsia"/>
          <w:lang w:eastAsia="zh-Hans"/>
        </w:rPr>
      </w:pPr>
      <w:bookmarkStart w:id="43" w:name="_Toc223006251"/>
      <w:r>
        <w:rPr>
          <w:rFonts w:hint="eastAsia" w:asciiTheme="minorEastAsia" w:hAnsiTheme="minorEastAsia" w:eastAsiaTheme="minorEastAsia" w:cstheme="minorEastAsia"/>
          <w:lang w:eastAsia="zh-Hans"/>
        </w:rPr>
        <w:t>10.3 实施机构应完成事项</w:t>
      </w:r>
      <w:bookmarkEnd w:id="43"/>
    </w:p>
    <w:p w14:paraId="02AC1DE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实施机构有权派出实施机构代表在任何时候进入项目设施，以监察项目设施的运营和维护，实施机构代表的进入不得干涉、延误或干扰资源承接方履行其在本协议项下的权利和义务。</w:t>
      </w:r>
    </w:p>
    <w:p w14:paraId="2004EEE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实施机构代表发现问题时有提问和要求回答的权利，并有权检查资源承接方生产记录、设备检修和检测记录。</w:t>
      </w:r>
    </w:p>
    <w:p w14:paraId="784D0926">
      <w:pPr>
        <w:pStyle w:val="4"/>
        <w:ind w:firstLine="560"/>
        <w:rPr>
          <w:rFonts w:hint="eastAsia" w:asciiTheme="minorEastAsia" w:hAnsiTheme="minorEastAsia" w:eastAsiaTheme="minorEastAsia" w:cstheme="minorEastAsia"/>
          <w:lang w:eastAsia="zh-Hans"/>
        </w:rPr>
      </w:pPr>
      <w:bookmarkStart w:id="44" w:name="_Toc223006252"/>
      <w:r>
        <w:rPr>
          <w:rFonts w:hint="eastAsia" w:asciiTheme="minorEastAsia" w:hAnsiTheme="minorEastAsia" w:eastAsiaTheme="minorEastAsia" w:cstheme="minorEastAsia"/>
          <w:lang w:eastAsia="zh-Hans"/>
        </w:rPr>
        <w:t>10.4 运营服务内容</w:t>
      </w:r>
      <w:bookmarkEnd w:id="44"/>
    </w:p>
    <w:p w14:paraId="3E64FEB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10.4.1 停车服务</w:t>
      </w:r>
    </w:p>
    <w:p w14:paraId="438CEC3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资源承接方应确保本项目能能持续、稳定向用户提供停车服务。</w:t>
      </w:r>
    </w:p>
    <w:p w14:paraId="104F51E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10.4.2 提交运营记录及财务报表</w:t>
      </w:r>
    </w:p>
    <w:p w14:paraId="4E06B74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自开始商业运行日后，资源承接方应于每个公历年结束 30 日内向实施机构提交运营记录及经审计的本项目财务报表，包括资产负债表、利润表、现金流量表及附注。</w:t>
      </w:r>
    </w:p>
    <w:p w14:paraId="72B30CB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10.4.3 提交临时报告</w:t>
      </w:r>
    </w:p>
    <w:p w14:paraId="59FCB3F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发生特殊或紧急情况时，资源承接方应提交临时报告。</w:t>
      </w:r>
    </w:p>
    <w:p w14:paraId="4E909D3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10.4.4 保证运营安全</w:t>
      </w:r>
    </w:p>
    <w:p w14:paraId="1CED01D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资源承接方应根据有关公共卫生和安全的适用法律以及本协议的规定，确保项目设施的安全管理、运营及维护。</w:t>
      </w:r>
    </w:p>
    <w:p w14:paraId="4B6C059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10.4.5 设置公示牌</w:t>
      </w:r>
    </w:p>
    <w:p w14:paraId="0A1F816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资源承接方应在停车收费的醒目位置按国家规范设置收费公示牌，公示经营单位名称、编号、收费项目、收费依据、收费标准、收费方法、泊位数和对象、监督投诉电话、监制单位等信息。</w:t>
      </w:r>
    </w:p>
    <w:p w14:paraId="75B4C09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10.4.6 使用收费票据</w:t>
      </w:r>
    </w:p>
    <w:p w14:paraId="324DF93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资源承接方对本项目的停车位进行收费，需使用税务部门监制的收费票据。实施机构应配合资源承接方办理停车收费相关手续和领取收费票据等工作。</w:t>
      </w:r>
    </w:p>
    <w:p w14:paraId="745F679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10.4.7 业务培训</w:t>
      </w:r>
    </w:p>
    <w:p w14:paraId="0B16AC55">
      <w:pPr>
        <w:widowControl/>
        <w:spacing w:line="240" w:lineRule="auto"/>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做好本次停车位停车收费管理人员的业务培训，保持停车位及其配套设施的市容环境卫生，收费管理员应穿着统一款式服装和佩戴统一明显标志，规范管理，指挥车辆按序进出和停放，维护停车秩序，无正当理由不得拒绝车辆停放。</w:t>
      </w:r>
    </w:p>
    <w:p w14:paraId="7FDDF8A4">
      <w:pPr>
        <w:widowControl/>
        <w:spacing w:line="240" w:lineRule="auto"/>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10.4.8 安全培训</w:t>
      </w:r>
    </w:p>
    <w:p w14:paraId="01989B86">
      <w:pPr>
        <w:widowControl/>
        <w:spacing w:line="240" w:lineRule="auto"/>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资源承接方要定期对停车位收费管理人员进行安全培训教育，避免发生交通事故和意外事故等；如若发生，资源承接方要自行承担事故引起的责任和赔偿，及时协调解决相关事宜，避免引起纠纷和造成负面影响。</w:t>
      </w:r>
    </w:p>
    <w:p w14:paraId="5693258A">
      <w:pPr>
        <w:widowControl/>
        <w:spacing w:line="240" w:lineRule="auto"/>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10.4.9 安全保障</w:t>
      </w:r>
    </w:p>
    <w:p w14:paraId="6614125F">
      <w:pPr>
        <w:widowControl/>
        <w:spacing w:line="240" w:lineRule="auto"/>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合作期限内，资源承接方应确保停车位的平整、标志线完好，做好停车收费期间的安全保障。</w:t>
      </w:r>
    </w:p>
    <w:p w14:paraId="2B11B9C1">
      <w:pPr>
        <w:widowControl/>
        <w:spacing w:line="240" w:lineRule="auto"/>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10.4.10 经营管理责任</w:t>
      </w:r>
    </w:p>
    <w:p w14:paraId="620FE286">
      <w:pPr>
        <w:widowControl/>
        <w:spacing w:line="240" w:lineRule="auto"/>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协议履行期间，资源承接方应当承担所有经营管理责任，包括但不限于因资源承接方原因导致的交通意外事故、经营中造成的所有第三人人身或财产损失等，同时应当积极配合实施机构的监测评估工作以及处理经营期间因停车收费或其他事项引起的投诉、纠纷、网络舆情等。</w:t>
      </w:r>
    </w:p>
    <w:p w14:paraId="16721E7A">
      <w:pPr>
        <w:pStyle w:val="4"/>
        <w:ind w:firstLine="560"/>
        <w:rPr>
          <w:rFonts w:hint="eastAsia" w:asciiTheme="minorEastAsia" w:hAnsiTheme="minorEastAsia" w:eastAsiaTheme="minorEastAsia" w:cstheme="minorEastAsia"/>
          <w:lang w:eastAsia="zh-Hans"/>
        </w:rPr>
      </w:pPr>
      <w:bookmarkStart w:id="45" w:name="_Toc223006253"/>
      <w:r>
        <w:rPr>
          <w:rFonts w:hint="eastAsia" w:asciiTheme="minorEastAsia" w:hAnsiTheme="minorEastAsia" w:eastAsiaTheme="minorEastAsia" w:cstheme="minorEastAsia"/>
          <w:lang w:eastAsia="zh-Hans"/>
        </w:rPr>
        <w:t>10.5 资产重置</w:t>
      </w:r>
      <w:bookmarkEnd w:id="45"/>
    </w:p>
    <w:p w14:paraId="3307E21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10.5.1 资源承接方应在运营阶段，根据适用法律和谨慎运营惯例并且不低于设计内容和要求，预测主要设备进行更新或重置的时点、设置更新或重置的标准，并写入运营维护手册。项目设施在合作期间内应当根据运营维护手册的要求完成重置。</w:t>
      </w:r>
    </w:p>
    <w:p w14:paraId="5079A04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合作期间，设施的更新和重置费用由资源承接方承担。</w:t>
      </w:r>
    </w:p>
    <w:p w14:paraId="6506199B">
      <w:pPr>
        <w:pStyle w:val="3"/>
        <w:ind w:firstLine="560"/>
        <w:rPr>
          <w:rFonts w:hint="eastAsia" w:asciiTheme="minorEastAsia" w:hAnsiTheme="minorEastAsia" w:eastAsiaTheme="minorEastAsia" w:cstheme="minorEastAsia"/>
          <w:lang w:eastAsia="zh-Hans"/>
        </w:rPr>
      </w:pPr>
      <w:bookmarkStart w:id="46" w:name="_Toc223006254"/>
      <w:r>
        <w:rPr>
          <w:rFonts w:hint="eastAsia" w:asciiTheme="minorEastAsia" w:hAnsiTheme="minorEastAsia" w:eastAsiaTheme="minorEastAsia" w:cstheme="minorEastAsia"/>
          <w:lang w:eastAsia="zh-Hans"/>
        </w:rPr>
        <w:t>11.移交阶段</w:t>
      </w:r>
      <w:bookmarkEnd w:id="46"/>
    </w:p>
    <w:p w14:paraId="36114566">
      <w:pPr>
        <w:pStyle w:val="4"/>
        <w:ind w:firstLine="560"/>
        <w:rPr>
          <w:rFonts w:hint="eastAsia" w:asciiTheme="minorEastAsia" w:hAnsiTheme="minorEastAsia" w:eastAsiaTheme="minorEastAsia" w:cstheme="minorEastAsia"/>
          <w:lang w:eastAsia="zh-Hans"/>
        </w:rPr>
      </w:pPr>
      <w:bookmarkStart w:id="47" w:name="_Toc223006255"/>
      <w:r>
        <w:rPr>
          <w:rFonts w:hint="eastAsia" w:asciiTheme="minorEastAsia" w:hAnsiTheme="minorEastAsia" w:eastAsiaTheme="minorEastAsia" w:cstheme="minorEastAsia"/>
          <w:lang w:eastAsia="zh-Hans"/>
        </w:rPr>
        <w:t>11.1 移交范围</w:t>
      </w:r>
      <w:bookmarkEnd w:id="47"/>
    </w:p>
    <w:p w14:paraId="4FA017B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11.1.1 项目设施和权益</w:t>
      </w:r>
    </w:p>
    <w:p w14:paraId="4BBADA7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在移交日，资源承接方应向实施机构完好无偿移交：</w:t>
      </w:r>
    </w:p>
    <w:p w14:paraId="5A5CD5C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（a）项目用地及项目资产的占有；</w:t>
      </w:r>
    </w:p>
    <w:p w14:paraId="36825AD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（b）资源承接方对项目设施的占有，包括设备、装置、零部件、备品备件及其他资产；</w:t>
      </w:r>
    </w:p>
    <w:p w14:paraId="41E37CE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（c）协议条款第 10.5 条约定的设备重置；</w:t>
      </w:r>
    </w:p>
    <w:p w14:paraId="4F3BE73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（d）与项目设施相关的所有尚未到期的保证、保险和其它协议的利益（只要这些是可以转让的）。</w:t>
      </w:r>
    </w:p>
    <w:p w14:paraId="4820EF8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（e）与项目相关的知识产权，包括专利、商标、技术诀窍、商业秘密等；</w:t>
      </w:r>
    </w:p>
    <w:p w14:paraId="32921F1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（f）实施机构或其指定机构合理要求的其它物品与资料。</w:t>
      </w:r>
    </w:p>
    <w:p w14:paraId="2AC01B7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11.1.2 零配件和备品备件</w:t>
      </w:r>
    </w:p>
    <w:p w14:paraId="26EA50B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 xml:space="preserve">在移交日，资源承接方应向实施机构或其指定机构无偿移交足够 </w:t>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lang w:eastAsia="zh-Hans"/>
        </w:rPr>
        <w:t xml:space="preserve"> 个月使用的消耗性备品备件和事故抢修的备品备件。所有零配件、备品备件应至少具有与本协议生效日时取得的备件相同的质量和标准并符合相同规范的要求。</w:t>
      </w:r>
    </w:p>
    <w:p w14:paraId="0628387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11.1.3 保证的转让</w:t>
      </w:r>
    </w:p>
    <w:p w14:paraId="500A932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移交时，资源承接方应将所有项目设施的承包商、制造商和供应商提供的尚未期满的担保及保证，全部无偿转让给实施机构或其指定机构。</w:t>
      </w:r>
    </w:p>
    <w:p w14:paraId="40BC374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11.1.4 协议的取消、转让</w:t>
      </w:r>
    </w:p>
    <w:p w14:paraId="0FA17F2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依实施机构的要求，取消资源承接方与第三人签订的、于移交时仍有效的设备协议、供货协议和任何其他协议，如果是采购类协议且标的所有权尚未转移的，则取消协议不应对项目设备产生影响。实施机构对于资源承接方为取消协议所发生的任何费用不负责任。但实施机构认为继续履行上述协议将有利于项目的运营和维护，资源承接方应取得协议相对方同意，将该等协议权利义务转让至实施机构或其指定机构，但是协议转让前的债权债务由资源承接方享有和承担，协议转让后的债权债务由实施机构享有和承担。</w:t>
      </w:r>
    </w:p>
    <w:p w14:paraId="4197C54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11.1.5 技术和知识产权转让</w:t>
      </w:r>
    </w:p>
    <w:p w14:paraId="7677DA8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在移交日将届时使用的运营和维护项目设施所需要的所有技术和与项目相关的知识产权（包括以任何许可方式取得专利、商标、技术诀窍、商业秘密等），全部无偿转让及移交给实施机构或其指定机构，并确保实施机构或其指定机构不会因使用这些技术或知识产权而遭受侵权索赔。如果上述技术和与项目相关知识产权的使用权到移交日已期满，资源承接方有义务协助实施机构或其指定机构以不高于资源承接方取得此等技术和知识产权时所付出的代价取得这些技术和知识产权的使用权。</w:t>
      </w:r>
    </w:p>
    <w:p w14:paraId="6F086867">
      <w:pPr>
        <w:pStyle w:val="4"/>
        <w:ind w:firstLine="560"/>
        <w:rPr>
          <w:rFonts w:hint="eastAsia" w:asciiTheme="minorEastAsia" w:hAnsiTheme="minorEastAsia" w:eastAsiaTheme="minorEastAsia" w:cstheme="minorEastAsia"/>
          <w:lang w:eastAsia="zh-Hans"/>
        </w:rPr>
      </w:pPr>
      <w:bookmarkStart w:id="48" w:name="_Toc223006256"/>
      <w:r>
        <w:rPr>
          <w:rFonts w:hint="eastAsia" w:asciiTheme="minorEastAsia" w:hAnsiTheme="minorEastAsia" w:eastAsiaTheme="minorEastAsia" w:cstheme="minorEastAsia"/>
          <w:lang w:eastAsia="zh-Hans"/>
        </w:rPr>
        <w:t>11.2 移交清册、档案及文件</w:t>
      </w:r>
      <w:bookmarkEnd w:id="48"/>
    </w:p>
    <w:p w14:paraId="309A2A2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11.2.1 移交清册、档案与文件</w:t>
      </w:r>
    </w:p>
    <w:p w14:paraId="254F37C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在移交日，资源承接方应向实施机构移交以下资料和文件：</w:t>
      </w:r>
    </w:p>
    <w:p w14:paraId="6B1C074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（a）资源承接方资产清册，资产清册应当包括以下内容：品名、编号、购置时间、购置金额、折旧年限、使用手册、协议文件、保修文件、相关文件、备品清单。</w:t>
      </w:r>
    </w:p>
    <w:p w14:paraId="2D4F8F1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 xml:space="preserve">（b）可供移交日后 </w:t>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lang w:eastAsia="zh-Hans"/>
        </w:rPr>
        <w:t xml:space="preserve"> 个月使用的备品清单。</w:t>
      </w:r>
    </w:p>
    <w:p w14:paraId="6031925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（c）项目全部档案和文件、会计账册。</w:t>
      </w:r>
    </w:p>
    <w:p w14:paraId="68C8E34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（d）运营和维护项目设施所必需的技术文件，以及实施机构或其指定机构合理要求的运营手册、运营记录、移交记录、设计图纸、文件和其他资料，以使其能够直接或经由其指定机构继续运营和维护项目设施；</w:t>
      </w:r>
    </w:p>
    <w:p w14:paraId="7DC437C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（e）移交项目设施占有所需的资料；</w:t>
      </w:r>
    </w:p>
    <w:p w14:paraId="6B9C48A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（f）由实施机构或其他机构合理要求的其他档案或文件。</w:t>
      </w:r>
    </w:p>
    <w:p w14:paraId="659BD840">
      <w:pPr>
        <w:pStyle w:val="4"/>
        <w:ind w:firstLine="560"/>
        <w:rPr>
          <w:rFonts w:hint="eastAsia" w:asciiTheme="minorEastAsia" w:hAnsiTheme="minorEastAsia" w:eastAsiaTheme="minorEastAsia" w:cstheme="minorEastAsia"/>
          <w:lang w:eastAsia="zh-Hans"/>
        </w:rPr>
      </w:pPr>
      <w:bookmarkStart w:id="49" w:name="_Toc223006257"/>
      <w:r>
        <w:rPr>
          <w:rFonts w:hint="eastAsia" w:asciiTheme="minorEastAsia" w:hAnsiTheme="minorEastAsia" w:eastAsiaTheme="minorEastAsia" w:cstheme="minorEastAsia"/>
          <w:lang w:eastAsia="zh-Hans"/>
        </w:rPr>
        <w:t>11.3 恢复性大修</w:t>
      </w:r>
      <w:bookmarkEnd w:id="49"/>
    </w:p>
    <w:p w14:paraId="26C4084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11.3.1 恢复性大修时间</w:t>
      </w:r>
    </w:p>
    <w:p w14:paraId="497DB33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 xml:space="preserve">资源承接方应在不早于移交日之前 </w:t>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lang w:eastAsia="zh-Hans"/>
        </w:rPr>
        <w:t xml:space="preserve"> 个月，对项目设施进行一次大修，但此大修应不迟于移交日之前完成。大修的具体时间和内容应由移交工作组确定。</w:t>
      </w:r>
    </w:p>
    <w:p w14:paraId="76519D7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11.3.2 未恢复性大修的后果</w:t>
      </w:r>
    </w:p>
    <w:p w14:paraId="3412156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如果资源承接方未按协议约定进行最后恢复性大修，实施机构可以用履约保证金自行进行大修，不足部分应由资源承接方承担。</w:t>
      </w:r>
    </w:p>
    <w:p w14:paraId="34CBD4F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11.3.3 恢复性大修的标准</w:t>
      </w:r>
    </w:p>
    <w:p w14:paraId="0AB65C6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大修后的项目设施性能应保持良好状况，应不低于能够满足移交日适用法律规定的服务标准、性能参数。</w:t>
      </w:r>
    </w:p>
    <w:p w14:paraId="1102BBC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11.3.4 恢复性大修费用</w:t>
      </w:r>
    </w:p>
    <w:p w14:paraId="30E9654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恢复性大修费用由资源承接方承担。</w:t>
      </w:r>
    </w:p>
    <w:p w14:paraId="04E02FCA">
      <w:pPr>
        <w:pStyle w:val="4"/>
        <w:ind w:firstLine="560"/>
        <w:rPr>
          <w:rFonts w:hint="eastAsia" w:asciiTheme="minorEastAsia" w:hAnsiTheme="minorEastAsia" w:eastAsiaTheme="minorEastAsia" w:cstheme="minorEastAsia"/>
          <w:lang w:eastAsia="zh-Hans"/>
        </w:rPr>
      </w:pPr>
      <w:bookmarkStart w:id="50" w:name="_Toc223006258"/>
      <w:r>
        <w:rPr>
          <w:rFonts w:hint="eastAsia" w:asciiTheme="minorEastAsia" w:hAnsiTheme="minorEastAsia" w:eastAsiaTheme="minorEastAsia" w:cstheme="minorEastAsia"/>
          <w:lang w:eastAsia="zh-Hans"/>
        </w:rPr>
        <w:t>11.4 移交标准</w:t>
      </w:r>
      <w:bookmarkEnd w:id="50"/>
    </w:p>
    <w:p w14:paraId="279612A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在移交日，资源承接方应确保项目设施均处于良好状况，以使项目设施在依适用法律和谨慎运营惯例运行的情况下，能够继续稳定可靠地运行。通过最后恢复性大修，资源承接方应确保项目关键性设备的整体完好率（性能指标）达到 100%、其他设备的整体完好率（性能指标）达到 95%。</w:t>
      </w:r>
    </w:p>
    <w:p w14:paraId="43575CD3">
      <w:pPr>
        <w:pStyle w:val="4"/>
        <w:ind w:firstLine="560"/>
        <w:rPr>
          <w:rFonts w:hint="eastAsia" w:asciiTheme="minorEastAsia" w:hAnsiTheme="minorEastAsia" w:eastAsiaTheme="minorEastAsia" w:cstheme="minorEastAsia"/>
          <w:lang w:eastAsia="zh-Hans"/>
        </w:rPr>
      </w:pPr>
      <w:bookmarkStart w:id="51" w:name="_Toc223006259"/>
      <w:r>
        <w:rPr>
          <w:rFonts w:hint="eastAsia" w:asciiTheme="minorEastAsia" w:hAnsiTheme="minorEastAsia" w:eastAsiaTheme="minorEastAsia" w:cstheme="minorEastAsia"/>
          <w:lang w:eastAsia="zh-Hans"/>
        </w:rPr>
        <w:t>11.5 移交准备</w:t>
      </w:r>
      <w:bookmarkEnd w:id="51"/>
    </w:p>
    <w:p w14:paraId="0990ECA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11.5.1 成立移交工作组</w:t>
      </w:r>
    </w:p>
    <w:p w14:paraId="17D3D95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合作期满前 1 年，资源承接方和实施机构应成立移交工作组，移交工作组由双方各选派 3 名授权代表组成。</w:t>
      </w:r>
    </w:p>
    <w:p w14:paraId="35460FE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11.5.2 评估与检验</w:t>
      </w:r>
    </w:p>
    <w:p w14:paraId="5BDC482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与项目运营有关的资产或设备在移交后，实施机构应当进行评估或实验，确定相应的资产或设备处于可用状态，并符合移交标准。</w:t>
      </w:r>
    </w:p>
    <w:p w14:paraId="2CC93EC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11.5.4 人员安置</w:t>
      </w:r>
    </w:p>
    <w:p w14:paraId="3F7A827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资源承接方应于移交前 90 天向实施机构或政府指定机构提交一份当时资源承接方雇佣的雇员名单，包括每个雇员的资格、职位、收入和福利等的详细资料。资源承接方同时须说明在移交日之后哪些雇员将可供实施机构或政府指定机构聘用，未被聘用的员工，由资源承接方负责安置，实施机构不承担任何责任。</w:t>
      </w:r>
    </w:p>
    <w:p w14:paraId="59EB896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11.5.5 无权利瑕疵</w:t>
      </w:r>
    </w:p>
    <w:p w14:paraId="3C026E5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移交不应附带任何负债或违约、侵权责任。所有与移交的设施、权益、文件等有关的负债或违约、侵权责任，应由资源承接方在移交前全部清偿或赔偿完毕。</w:t>
      </w:r>
    </w:p>
    <w:p w14:paraId="44509FA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确保上述移交不应附带任何负债或违约、侵权责任。所有与移交的设施、权益、文件等有关的银行贷款或负债、违约、侵权责任等，已由资源承接方全部清偿或赔偿完毕，但不得以移交的设施、权益、文件作为清偿客体。</w:t>
      </w:r>
    </w:p>
    <w:p w14:paraId="6408C60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11.5.6 无环境问题</w:t>
      </w:r>
    </w:p>
    <w:p w14:paraId="3FA1823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实施机构和资源承接方应当确保移交不会对环境保护造成影响。</w:t>
      </w:r>
    </w:p>
    <w:p w14:paraId="320C332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11.5.7 移交清册</w:t>
      </w:r>
    </w:p>
    <w:p w14:paraId="1912E5C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资源承接方应当按照协议约定完成移交清册和档案文件的整理，并于移交日按时移交。</w:t>
      </w:r>
    </w:p>
    <w:p w14:paraId="0505431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11.5.8 人员培训</w:t>
      </w:r>
    </w:p>
    <w:p w14:paraId="35EB3CE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实施机构或政府指定机构有权在移交日之前派驻人员到资源承接方所在地进行培训或学习，但不迟于移交日前 90 日向资源承接方说明情况及拟派驻人员名单并提供详细简历。资源承接方免费负责为上述人员提供一次培训。</w:t>
      </w:r>
    </w:p>
    <w:p w14:paraId="1C8CD75E">
      <w:pPr>
        <w:pStyle w:val="4"/>
        <w:ind w:firstLine="560"/>
        <w:rPr>
          <w:rFonts w:hint="eastAsia" w:asciiTheme="minorEastAsia" w:hAnsiTheme="minorEastAsia" w:eastAsiaTheme="minorEastAsia" w:cstheme="minorEastAsia"/>
          <w:lang w:eastAsia="zh-Hans"/>
        </w:rPr>
      </w:pPr>
      <w:bookmarkStart w:id="52" w:name="_Toc223006260"/>
      <w:r>
        <w:rPr>
          <w:rFonts w:hint="eastAsia" w:asciiTheme="minorEastAsia" w:hAnsiTheme="minorEastAsia" w:eastAsiaTheme="minorEastAsia" w:cstheme="minorEastAsia"/>
          <w:lang w:eastAsia="zh-Hans"/>
        </w:rPr>
        <w:t>11.6 移交程序</w:t>
      </w:r>
      <w:bookmarkEnd w:id="52"/>
    </w:p>
    <w:p w14:paraId="622EFC6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11.6.1 移交范围清单</w:t>
      </w:r>
    </w:p>
    <w:p w14:paraId="3F94D6C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移交工作组应在成立后 30 日内举行会谈并商定项目设施移交的详尽程序以及按照协议约定的移交范围的详细清单。</w:t>
      </w:r>
    </w:p>
    <w:p w14:paraId="4C014DD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11.6.2 移走资源承接方物品</w:t>
      </w:r>
    </w:p>
    <w:p w14:paraId="6914030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资源承接方应于移交日后 30 日内，自费从项目设施场地移走资源承接方所属所有物品。移走的物品仅限于资源承接方雇员的个人用品以及与项目设施的运营和维护无关的可移动的物品。如资源承接方未在上述期间内移走该等物品，视为资源承接方已抛弃所有，实施机构或其指定机构有权自行处理。</w:t>
      </w:r>
    </w:p>
    <w:p w14:paraId="3FC4054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11.6.3 移交费用承担</w:t>
      </w:r>
    </w:p>
    <w:p w14:paraId="5E0BF67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资源承接方及实施机构或其指定机构应各自负担移交所发生的费用和支出。实施机构或其指定机构应自费获得所有的批准并使之生效，并采取其他可能为移交所必需的措施。</w:t>
      </w:r>
    </w:p>
    <w:p w14:paraId="0BFB4CD6">
      <w:pPr>
        <w:pStyle w:val="4"/>
        <w:ind w:firstLine="560"/>
        <w:rPr>
          <w:rFonts w:hint="eastAsia" w:asciiTheme="minorEastAsia" w:hAnsiTheme="minorEastAsia" w:eastAsiaTheme="minorEastAsia" w:cstheme="minorEastAsia"/>
          <w:lang w:eastAsia="zh-Hans"/>
        </w:rPr>
      </w:pPr>
      <w:bookmarkStart w:id="53" w:name="_Toc223006261"/>
      <w:r>
        <w:rPr>
          <w:rFonts w:hint="eastAsia" w:asciiTheme="minorEastAsia" w:hAnsiTheme="minorEastAsia" w:eastAsiaTheme="minorEastAsia" w:cstheme="minorEastAsia"/>
          <w:lang w:eastAsia="zh-Hans"/>
        </w:rPr>
        <w:t>11.7 未完成移交的效果</w:t>
      </w:r>
      <w:bookmarkEnd w:id="53"/>
    </w:p>
    <w:p w14:paraId="42BF6F2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由于非资源承接方原因，实施机构未能在移交日起 30 日内进行移交验收，则视为通过移交验收。由于资源承接方原因导致移交未能完成的，并造成实施机构受有损失，实施机构有权从履约保证金中扣除损失金额。</w:t>
      </w:r>
    </w:p>
    <w:p w14:paraId="45181AF6">
      <w:pPr>
        <w:pStyle w:val="4"/>
        <w:ind w:firstLine="560"/>
        <w:rPr>
          <w:rFonts w:hint="eastAsia" w:asciiTheme="minorEastAsia" w:hAnsiTheme="minorEastAsia" w:eastAsiaTheme="minorEastAsia" w:cstheme="minorEastAsia"/>
          <w:lang w:eastAsia="zh-Hans"/>
        </w:rPr>
      </w:pPr>
      <w:bookmarkStart w:id="54" w:name="_Toc223006262"/>
      <w:r>
        <w:rPr>
          <w:rFonts w:hint="eastAsia" w:asciiTheme="minorEastAsia" w:hAnsiTheme="minorEastAsia" w:eastAsiaTheme="minorEastAsia" w:cstheme="minorEastAsia"/>
          <w:lang w:eastAsia="zh-Hans"/>
        </w:rPr>
        <w:t>11.8 危险负担</w:t>
      </w:r>
      <w:bookmarkEnd w:id="54"/>
    </w:p>
    <w:p w14:paraId="48CF298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承担移交日前项目的全部设施、设备损失或损坏的风险，除非该等损失或损坏是由实施机构或其指定机构或人员的过错所致。自移交日起，项目的全部设施、设备损失或损坏的风险由实施机构或其指定机构承担，但本协议另有约定的除外。</w:t>
      </w:r>
    </w:p>
    <w:p w14:paraId="4E782768">
      <w:pPr>
        <w:pStyle w:val="4"/>
        <w:ind w:firstLine="560"/>
        <w:rPr>
          <w:rFonts w:hint="eastAsia" w:asciiTheme="minorEastAsia" w:hAnsiTheme="minorEastAsia" w:eastAsiaTheme="minorEastAsia" w:cstheme="minorEastAsia"/>
          <w:lang w:eastAsia="zh-Hans"/>
        </w:rPr>
      </w:pPr>
      <w:bookmarkStart w:id="55" w:name="_Toc223006263"/>
      <w:r>
        <w:rPr>
          <w:rFonts w:hint="eastAsia" w:asciiTheme="minorEastAsia" w:hAnsiTheme="minorEastAsia" w:eastAsiaTheme="minorEastAsia" w:cstheme="minorEastAsia"/>
          <w:lang w:eastAsia="zh-Hans"/>
        </w:rPr>
        <w:t>11.9 缺陷责任</w:t>
      </w:r>
      <w:bookmarkEnd w:id="55"/>
    </w:p>
    <w:p w14:paraId="728CB00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11.9.1 履行保修义务</w:t>
      </w:r>
    </w:p>
    <w:p w14:paraId="1A4AB27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移交后项目缺陷责任期为移交日后 1 年。移交缺陷责任期内，资源承接方须按国家规定履行保修义务（因接受移交的单位使用不当造成的损坏除外），修复项目设施的任何部分在移交缺陷责任期内出现的任何缺陷或损坏，并提供满足正常生产需要的技术咨询服务。</w:t>
      </w:r>
    </w:p>
    <w:p w14:paraId="3EACA37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11.9.2 资源承接方的修复义务</w:t>
      </w:r>
    </w:p>
    <w:p w14:paraId="000712B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实施机构或其指定机构在移交日后发现任何缺陷或损坏后，应及时通知资源承接方；但最迟应于移交缺陷责任期结束前通知资源承接方。资源承接方收到该通知后，应尽快自费修正缺陷或损坏。</w:t>
      </w:r>
    </w:p>
    <w:p w14:paraId="2A651F0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11.9.3 未履行修复义务的后果</w:t>
      </w:r>
    </w:p>
    <w:p w14:paraId="04649D7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在收到实施机构或其指定机构通知后的合理时间内不能或拒绝修正缺陷，实施机构或其指定机构有权自行或委请第三方修正上述缺陷。在这种情况下，资源承接方应赔偿实施机构或其指定机构所支出的合理且必要修理费用，且实施机构有权从履约保证金提取相应金额以赔偿该等修理费用。</w:t>
      </w:r>
    </w:p>
    <w:p w14:paraId="22F90B96">
      <w:pPr>
        <w:pStyle w:val="3"/>
        <w:ind w:firstLine="560"/>
        <w:rPr>
          <w:rFonts w:hint="eastAsia" w:asciiTheme="minorEastAsia" w:hAnsiTheme="minorEastAsia" w:eastAsiaTheme="minorEastAsia" w:cstheme="minorEastAsia"/>
          <w:lang w:eastAsia="zh-Hans"/>
        </w:rPr>
      </w:pPr>
      <w:bookmarkStart w:id="56" w:name="_Toc223006264"/>
      <w:r>
        <w:rPr>
          <w:rFonts w:hint="eastAsia" w:asciiTheme="minorEastAsia" w:hAnsiTheme="minorEastAsia" w:eastAsiaTheme="minorEastAsia" w:cstheme="minorEastAsia"/>
          <w:lang w:eastAsia="zh-Hans"/>
        </w:rPr>
        <w:t>12.绩效评价</w:t>
      </w:r>
      <w:bookmarkEnd w:id="56"/>
    </w:p>
    <w:p w14:paraId="473E45EB">
      <w:pPr>
        <w:pStyle w:val="4"/>
        <w:ind w:firstLine="560"/>
        <w:rPr>
          <w:rFonts w:hint="eastAsia" w:asciiTheme="minorEastAsia" w:hAnsiTheme="minorEastAsia" w:eastAsiaTheme="minorEastAsia" w:cstheme="minorEastAsia"/>
          <w:lang w:eastAsia="zh-Hans"/>
        </w:rPr>
      </w:pPr>
      <w:bookmarkStart w:id="57" w:name="_Toc223006265"/>
      <w:r>
        <w:rPr>
          <w:rFonts w:hint="eastAsia" w:asciiTheme="minorEastAsia" w:hAnsiTheme="minorEastAsia" w:eastAsiaTheme="minorEastAsia" w:cstheme="minorEastAsia"/>
          <w:lang w:eastAsia="zh-Hans"/>
        </w:rPr>
        <w:t>12.1 全周期绩效管理</w:t>
      </w:r>
      <w:bookmarkEnd w:id="57"/>
    </w:p>
    <w:p w14:paraId="3B0D2CB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实施机构、行业主管部门、政府相关部门应按照国家相关法规政策及本协议的约定对资源承接方进行全周期的绩效管理，绩效评价结果作为合作期限调整、项目期满后协议是否展期的考量因素。</w:t>
      </w:r>
    </w:p>
    <w:p w14:paraId="0378B130">
      <w:pPr>
        <w:pStyle w:val="4"/>
        <w:ind w:firstLine="560"/>
        <w:rPr>
          <w:rFonts w:hint="eastAsia" w:asciiTheme="minorEastAsia" w:hAnsiTheme="minorEastAsia" w:eastAsiaTheme="minorEastAsia" w:cstheme="minorEastAsia"/>
          <w:lang w:eastAsia="zh-Hans"/>
        </w:rPr>
      </w:pPr>
      <w:bookmarkStart w:id="58" w:name="_Toc223006266"/>
      <w:r>
        <w:rPr>
          <w:rFonts w:hint="eastAsia" w:asciiTheme="minorEastAsia" w:hAnsiTheme="minorEastAsia" w:eastAsiaTheme="minorEastAsia" w:cstheme="minorEastAsia"/>
          <w:lang w:eastAsia="zh-Hans"/>
        </w:rPr>
        <w:t>12.2 绩效评价的主体</w:t>
      </w:r>
      <w:bookmarkEnd w:id="58"/>
    </w:p>
    <w:p w14:paraId="48322FF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项目由实施机构对资源承接方进行绩效评价，资源承接方有配合义务。实施机构有权聘请第三方考核评估机构按协议条款的约定对资源承接方进行绩效评价。项目所属行业主管部门、政府相关部门有权根据法律或职权指导、协助实施机构对资源承接方进行绩效评价工作。</w:t>
      </w:r>
    </w:p>
    <w:p w14:paraId="4866F30B">
      <w:pPr>
        <w:pStyle w:val="4"/>
        <w:ind w:firstLine="560"/>
        <w:rPr>
          <w:rFonts w:hint="eastAsia" w:asciiTheme="minorEastAsia" w:hAnsiTheme="minorEastAsia" w:eastAsiaTheme="minorEastAsia" w:cstheme="minorEastAsia"/>
          <w:lang w:eastAsia="zh-Hans"/>
        </w:rPr>
      </w:pPr>
      <w:bookmarkStart w:id="59" w:name="_Toc223006267"/>
      <w:r>
        <w:rPr>
          <w:rFonts w:hint="eastAsia" w:asciiTheme="minorEastAsia" w:hAnsiTheme="minorEastAsia" w:eastAsiaTheme="minorEastAsia" w:cstheme="minorEastAsia"/>
          <w:lang w:eastAsia="zh-Hans"/>
        </w:rPr>
        <w:t>12.3 绩效评价的范围</w:t>
      </w:r>
      <w:bookmarkEnd w:id="59"/>
    </w:p>
    <w:p w14:paraId="3086BE7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绩效评价的范围是本协议所约定的全部建设义务、运营服务范围，其中包括但不限于未来因项目服务范围变更而应承担的协议义务。</w:t>
      </w:r>
    </w:p>
    <w:p w14:paraId="3C44DFE6">
      <w:pPr>
        <w:pStyle w:val="4"/>
        <w:ind w:firstLine="560"/>
        <w:rPr>
          <w:rFonts w:hint="eastAsia" w:asciiTheme="minorEastAsia" w:hAnsiTheme="minorEastAsia" w:eastAsiaTheme="minorEastAsia" w:cstheme="minorEastAsia"/>
          <w:lang w:eastAsia="zh-Hans"/>
        </w:rPr>
      </w:pPr>
      <w:bookmarkStart w:id="60" w:name="_Toc223006268"/>
      <w:r>
        <w:rPr>
          <w:rFonts w:hint="eastAsia" w:asciiTheme="minorEastAsia" w:hAnsiTheme="minorEastAsia" w:eastAsiaTheme="minorEastAsia" w:cstheme="minorEastAsia"/>
          <w:lang w:eastAsia="zh-Hans"/>
        </w:rPr>
        <w:t>12.4 绩效目标与指标体系的制定与调整</w:t>
      </w:r>
      <w:bookmarkEnd w:id="60"/>
    </w:p>
    <w:p w14:paraId="394E552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应负责编制本项目绩效目标与指标体系，并送请项目所属行业主管部门、政府相关部门审核。合作期间，因政府部门相关规范性文件要求、或项目工作开展的实际需要、或因突发事件、不可抗力等无法预见的重大变化影响绩效目标实现，实施机构有权对本项目绩效目标与指标体系进行调整，并通知资源承接方执行。资源承接方应按调整后的绩效目标与指标体系履行项目绩效评价义务。</w:t>
      </w:r>
    </w:p>
    <w:p w14:paraId="0D25371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资源承接方对绩效目标与指标体系调整结果有异议的，可申请召开评审会进行评审。双方对评审意见无异议的，按评审意见执行；仍有异议的，按照协议约定的争议解决机制处理。</w:t>
      </w:r>
    </w:p>
    <w:p w14:paraId="67BE8414">
      <w:pPr>
        <w:pStyle w:val="4"/>
        <w:ind w:firstLine="560"/>
        <w:rPr>
          <w:rFonts w:hint="eastAsia" w:asciiTheme="minorEastAsia" w:hAnsiTheme="minorEastAsia" w:eastAsiaTheme="minorEastAsia" w:cstheme="minorEastAsia"/>
          <w:lang w:eastAsia="zh-Hans"/>
        </w:rPr>
      </w:pPr>
      <w:bookmarkStart w:id="61" w:name="_Toc223006269"/>
      <w:r>
        <w:rPr>
          <w:rFonts w:hint="eastAsia" w:asciiTheme="minorEastAsia" w:hAnsiTheme="minorEastAsia" w:eastAsiaTheme="minorEastAsia" w:cstheme="minorEastAsia"/>
          <w:lang w:eastAsia="zh-Hans"/>
        </w:rPr>
        <w:t>12.5 建设期绩效评价（如涉及建设内容）</w:t>
      </w:r>
      <w:bookmarkEnd w:id="61"/>
    </w:p>
    <w:p w14:paraId="12DDEB9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12.5.1 建设期绩效评价的时点</w:t>
      </w:r>
    </w:p>
    <w:p w14:paraId="66A441D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本项目建设期绩效评价为一次性评价，时间点为建设期结束后 30 日内进行一次性绩效评价。</w:t>
      </w:r>
    </w:p>
    <w:p w14:paraId="467EDF9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12.5.2 建设期绩效评价的标准</w:t>
      </w:r>
    </w:p>
    <w:p w14:paraId="0C53D7A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本项目建设期绩效评价参考标准详见附件</w:t>
      </w:r>
      <w:r>
        <w:rPr>
          <w:rFonts w:hint="eastAsia" w:asciiTheme="minorEastAsia" w:hAnsiTheme="minorEastAsia" w:eastAsiaTheme="minorEastAsia" w:cstheme="minorEastAsia"/>
        </w:rPr>
        <w:t>5</w:t>
      </w:r>
      <w:r>
        <w:rPr>
          <w:rFonts w:hint="eastAsia" w:asciiTheme="minorEastAsia" w:hAnsiTheme="minorEastAsia" w:eastAsiaTheme="minorEastAsia" w:cstheme="minorEastAsia"/>
          <w:lang w:eastAsia="zh-Hans"/>
        </w:rPr>
        <w:t>：建设期绩效目标与指标体系，最终绩效评价指标体系以经批准的绩效评价实施方案为准。</w:t>
      </w:r>
    </w:p>
    <w:p w14:paraId="078505E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12.5.3 建设期绩效评价的程序</w:t>
      </w:r>
    </w:p>
    <w:p w14:paraId="154109E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12.5.3.1 实施机构或实施机构指定的第三方机构开展绩效评价工作应按以下方式进行：</w:t>
      </w:r>
    </w:p>
    <w:p w14:paraId="7B267EB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（a）下达绩效评价通知。实施机构确定绩效评价工作开展时间后，应至少提前 5 个工作日通知资源承接方及相关部门；</w:t>
      </w:r>
    </w:p>
    <w:p w14:paraId="0ED9415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（b）制定绩效评价工作方案；</w:t>
      </w:r>
    </w:p>
    <w:p w14:paraId="3FABE23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（c）组织实施绩效评价；</w:t>
      </w:r>
    </w:p>
    <w:p w14:paraId="4011783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（d）编制绩效评价报告；</w:t>
      </w:r>
    </w:p>
    <w:p w14:paraId="793DF74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（e）资料归档；</w:t>
      </w:r>
    </w:p>
    <w:p w14:paraId="5945219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（f）评价结果反馈。</w:t>
      </w:r>
    </w:p>
    <w:p w14:paraId="4C263E7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12.5.3.2 资源承接方在接到绩效评价通知后，应及时向实施机构或实施机构指定的第三方机构提交用于绩效评价的书面资料，实施机构可以根据实际需要自行调取、查看、和要求资源承接方补充资料，资源承接方不得拒绝。</w:t>
      </w:r>
    </w:p>
    <w:p w14:paraId="72369C2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12.5.3.3 实施机构应在绩效评价结束后按照相关规定履行信息公开义务。</w:t>
      </w:r>
    </w:p>
    <w:p w14:paraId="3410ED2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12.5.4 建设期绩效评价违约金的性质与计算建设期绩效评价违约金的性质为惩罚性违约金，且惩罚性违约金并不影响实施机构对资源承接方的损害赔偿请求权。</w:t>
      </w:r>
    </w:p>
    <w:p w14:paraId="0867473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建设期绩效评价得分低于 80 分，资源承接方需承担惩罚性违约金，违约金=（80－建设期绩效评价得分）*2 万元。</w:t>
      </w:r>
    </w:p>
    <w:p w14:paraId="7D24C6F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12.5.5 建设期绩效的结果</w:t>
      </w:r>
    </w:p>
    <w:p w14:paraId="06F23A2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资源承接方建设期绩效评价未满 60 分，实施机构有权要求资源承接方限期整改。</w:t>
      </w:r>
    </w:p>
    <w:p w14:paraId="15AE32E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资源承接方在收到实施机构签发的关于限期缴纳建设期绩效评价违约金的书面通知后，拒不缴纳或逾期缴纳的，实施机构有权从履约保证金中扣除。</w:t>
      </w:r>
    </w:p>
    <w:p w14:paraId="56E392FF">
      <w:pPr>
        <w:pStyle w:val="4"/>
        <w:ind w:firstLine="560"/>
        <w:rPr>
          <w:rFonts w:hint="eastAsia" w:asciiTheme="minorEastAsia" w:hAnsiTheme="minorEastAsia" w:eastAsiaTheme="minorEastAsia" w:cstheme="minorEastAsia"/>
          <w:lang w:eastAsia="zh-Hans"/>
        </w:rPr>
      </w:pPr>
      <w:bookmarkStart w:id="62" w:name="_Toc223006270"/>
      <w:r>
        <w:rPr>
          <w:rFonts w:hint="eastAsia" w:asciiTheme="minorEastAsia" w:hAnsiTheme="minorEastAsia" w:eastAsiaTheme="minorEastAsia" w:cstheme="minorEastAsia"/>
          <w:lang w:eastAsia="zh-Hans"/>
        </w:rPr>
        <w:t>12.6 运营期绩效评价</w:t>
      </w:r>
      <w:bookmarkEnd w:id="62"/>
    </w:p>
    <w:p w14:paraId="738B1A9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12.6.1 运营期绩效评价的周期</w:t>
      </w:r>
    </w:p>
    <w:p w14:paraId="3A894BB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12.6.1.1 常规考核</w:t>
      </w:r>
    </w:p>
    <w:p w14:paraId="402B3C7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常规考核每个运营年一次，每个运营年的绩效评价应当在次年 60 日前完成，节假日不顺延。常规考核结果与合作期限挂钩。</w:t>
      </w:r>
    </w:p>
    <w:p w14:paraId="55BAB06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12.6.1.2 临时考核</w:t>
      </w:r>
    </w:p>
    <w:p w14:paraId="760DB10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除常规考核外，因工作检查、突发事件等，项目实施机构可以随时自行考核资源承接方的运营情况，如发现运营缺陷，则需书面通知资源承接方，并要求限期修复、整改，如发现运营缺陷未及时修复、整改，临时考核的结果将纳入下次常规考核评分体系，与合作期限挂钩。</w:t>
      </w:r>
    </w:p>
    <w:p w14:paraId="064D95C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12.6.2 运营期绩效评价的标准</w:t>
      </w:r>
    </w:p>
    <w:p w14:paraId="69773E7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本项目运营期绩效评价参考标准详见附件</w:t>
      </w: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eastAsia="zh-Hans"/>
        </w:rPr>
        <w:t>：运营期绩效目标与指标体系，最终绩效评价指标体系以经批准的绩效评价实施方案为准。</w:t>
      </w:r>
    </w:p>
    <w:p w14:paraId="1EA4594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12.6.3 运营期绩效评价的程序</w:t>
      </w:r>
    </w:p>
    <w:p w14:paraId="220126C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12.6.3.1 实施机构或实施机构指定的第三方机构开展绩效评价工作应按以下方式进行：</w:t>
      </w:r>
    </w:p>
    <w:p w14:paraId="21384B3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（a）下达绩效评价通知。实施机构确定绩效评价工作开展时间后，应至少提前 5 个工作日通知资源承接方及相关部门；</w:t>
      </w:r>
    </w:p>
    <w:p w14:paraId="07A9A6E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（b）制定绩效评价工作方案；</w:t>
      </w:r>
    </w:p>
    <w:p w14:paraId="1274379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（c）组织实施绩效评价；</w:t>
      </w:r>
    </w:p>
    <w:p w14:paraId="0F868A7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（d）编制绩效评价报告；</w:t>
      </w:r>
    </w:p>
    <w:p w14:paraId="377B619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（e）资料归档；</w:t>
      </w:r>
    </w:p>
    <w:p w14:paraId="135C57B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（f）评价结果反馈。</w:t>
      </w:r>
    </w:p>
    <w:p w14:paraId="589EE51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12.6.3.2 资源承接方在接到绩效评价通知后，应及时向实施机构或实施机构指定的第三方机构提交用于绩效评价的书面资料，实施机构可以根据实际需要自行调取、查看、和要求资源承接方补充资料，资源承接方不得拒绝。</w:t>
      </w:r>
    </w:p>
    <w:p w14:paraId="62C7B81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12.6.3.3 实施机构应在绩效评价结束后按照相关规定履行信息公开义务。</w:t>
      </w:r>
    </w:p>
    <w:p w14:paraId="22EE133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12.6.4 运营期绩效评价挂钩方法</w:t>
      </w:r>
    </w:p>
    <w:p w14:paraId="2262E13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12.6.4.1 奖励：每连续 3 次或累计 6 次常规考核得分均高于 85 分（含），合作期限延长 1 个月。已获得奖励考核期，不计入下次奖励范围。</w:t>
      </w:r>
    </w:p>
    <w:p w14:paraId="4665FCF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12.6.4.2 处罚：</w:t>
      </w:r>
    </w:p>
    <w:p w14:paraId="51A5E28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①每连续 3 次或累计 6 次常规考核得分低于 70 分，合作期限缩短 1 个月。已受到处罚考核期，不计入下次处罚范围。</w:t>
      </w:r>
    </w:p>
    <w:p w14:paraId="63F100C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②每连续 3 次或累计 6 次常规考核得分低于 60 分，项目实施机构有权立即发出终止合作的意向通知。</w:t>
      </w:r>
    </w:p>
    <w:p w14:paraId="2FB6DB8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12.6.6 运营期绩效的结果</w:t>
      </w:r>
    </w:p>
    <w:p w14:paraId="1510CE1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资源承接方运营期绩效评价未满 60 分，实施机构有权要求资源承接方限期整改。如资源承接方通过限期整改后，运营期绩效评价仍未满 60 分的，实施机构有权从履约保证金中扣减相应违约金。</w:t>
      </w:r>
    </w:p>
    <w:p w14:paraId="40BE3DF7">
      <w:pPr>
        <w:pStyle w:val="4"/>
        <w:ind w:firstLine="560"/>
        <w:rPr>
          <w:rFonts w:hint="eastAsia" w:asciiTheme="minorEastAsia" w:hAnsiTheme="minorEastAsia" w:eastAsiaTheme="minorEastAsia" w:cstheme="minorEastAsia"/>
          <w:lang w:eastAsia="zh-Hans"/>
        </w:rPr>
      </w:pPr>
      <w:bookmarkStart w:id="63" w:name="_Toc223006271"/>
      <w:r>
        <w:rPr>
          <w:rFonts w:hint="eastAsia" w:asciiTheme="minorEastAsia" w:hAnsiTheme="minorEastAsia" w:eastAsiaTheme="minorEastAsia" w:cstheme="minorEastAsia"/>
          <w:lang w:eastAsia="zh-Hans"/>
        </w:rPr>
        <w:t>12.7 中期评估</w:t>
      </w:r>
      <w:bookmarkEnd w:id="63"/>
    </w:p>
    <w:p w14:paraId="5D5BF3C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12.7.1 中期评估的定义</w:t>
      </w:r>
    </w:p>
    <w:p w14:paraId="2BA3612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中期评估是全方位评估项目的生存能力和可持续性，并就评估中存在问题提出解决方案，签订合作协议，是保证项目能持续运行的救济政策。中期评估的核心指标是项目的税后动态投资收益率。</w:t>
      </w:r>
    </w:p>
    <w:p w14:paraId="35D3ACF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12.7.2 中期评估的周期与费用承担</w:t>
      </w:r>
    </w:p>
    <w:p w14:paraId="149EC98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12.7.2.1 中期评估工作由项目实施机构负责，每 3-5 年组织一次，因项目运营期间的不可抗力事件、项目设施新建、临时接管、停车规划调整、重大政策调整、CPI 较基期增长 5%以上等因素，资源承接方也可向项目实施机构申请开展项目中期评估。</w:t>
      </w:r>
    </w:p>
    <w:p w14:paraId="2AA7404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12.7.2.2 中期评估的费用由资源承接方承担，计入项目经营成本，作为中期评估动态收益率计算和合作期限调整的因素。</w:t>
      </w:r>
    </w:p>
    <w:p w14:paraId="6D59A8A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12.7.3 中期评估的程序</w:t>
      </w:r>
    </w:p>
    <w:p w14:paraId="23A7E5B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由实施机构组织有关部门成员、利益相关方代表和专业人士组成评估委员会或委托专业第三方机构进行，并由评估委员会或第三方机构向实施机构出具评估报告，实施机构另应将评估报告送达资源承接方。</w:t>
      </w:r>
    </w:p>
    <w:p w14:paraId="7B2539D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12.7.4 中期评估对合作期、价格的调整</w:t>
      </w:r>
    </w:p>
    <w:p w14:paraId="5E2886B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中期评估是依据合作风险分配原则，将非资源承接方承担的各项风险因素引起的现金流变动，纳入项目税后动态投资收益率计算，如收益率明显低于资源承接方中标成交时的收益水平，政府方与资源承接方将协商签订合作协议的补充协议，对合作期限、停车收费价格进行调整。</w:t>
      </w:r>
    </w:p>
    <w:p w14:paraId="53C59291">
      <w:pPr>
        <w:pStyle w:val="4"/>
        <w:ind w:firstLine="560"/>
        <w:rPr>
          <w:rFonts w:hint="eastAsia" w:asciiTheme="minorEastAsia" w:hAnsiTheme="minorEastAsia" w:eastAsiaTheme="minorEastAsia" w:cstheme="minorEastAsia"/>
          <w:lang w:eastAsia="zh-Hans"/>
        </w:rPr>
      </w:pPr>
      <w:bookmarkStart w:id="64" w:name="_Toc223006272"/>
      <w:r>
        <w:rPr>
          <w:rFonts w:hint="eastAsia" w:asciiTheme="minorEastAsia" w:hAnsiTheme="minorEastAsia" w:eastAsiaTheme="minorEastAsia" w:cstheme="minorEastAsia"/>
          <w:lang w:eastAsia="zh-Hans"/>
        </w:rPr>
        <w:t>12.8 绩效评价与中期评估结果的异议</w:t>
      </w:r>
      <w:bookmarkEnd w:id="64"/>
    </w:p>
    <w:p w14:paraId="5D94AE5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资源承接方对建设期、运营期绩效评价、与中期评估结果有异议的，应在 5 个工作日内明确提出并提供有效的佐证材料，向实施机构解释说明并达成一致意见。无法达成一致的，应组织召开评审会，双方对评审意见无异议的，根据评审意见确定最终评价结果；仍有异议的，按照协议约定的争议解决机制处理。</w:t>
      </w:r>
    </w:p>
    <w:p w14:paraId="2BF08457">
      <w:pPr>
        <w:pStyle w:val="4"/>
        <w:ind w:firstLine="560"/>
        <w:rPr>
          <w:rFonts w:hint="eastAsia" w:asciiTheme="minorEastAsia" w:hAnsiTheme="minorEastAsia" w:eastAsiaTheme="minorEastAsia" w:cstheme="minorEastAsia"/>
          <w:lang w:eastAsia="zh-Hans"/>
        </w:rPr>
      </w:pPr>
      <w:bookmarkStart w:id="65" w:name="_Toc223006273"/>
      <w:r>
        <w:rPr>
          <w:rFonts w:hint="eastAsia" w:asciiTheme="minorEastAsia" w:hAnsiTheme="minorEastAsia" w:eastAsiaTheme="minorEastAsia" w:cstheme="minorEastAsia"/>
          <w:lang w:eastAsia="zh-Hans"/>
        </w:rPr>
        <w:t>12.9 其他</w:t>
      </w:r>
      <w:bookmarkEnd w:id="65"/>
    </w:p>
    <w:p w14:paraId="549D8EF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资源承接方应在实施机构、相关主管部门、政府相关部门对项目开展后评价时，给予合理的协助。</w:t>
      </w:r>
    </w:p>
    <w:p w14:paraId="0CD023BB">
      <w:pPr>
        <w:pStyle w:val="3"/>
        <w:ind w:firstLine="560"/>
        <w:rPr>
          <w:rFonts w:hint="eastAsia" w:asciiTheme="minorEastAsia" w:hAnsiTheme="minorEastAsia" w:eastAsiaTheme="minorEastAsia" w:cstheme="minorEastAsia"/>
          <w:lang w:eastAsia="zh-Hans"/>
        </w:rPr>
      </w:pPr>
      <w:bookmarkStart w:id="66" w:name="_Toc223006274"/>
      <w:r>
        <w:rPr>
          <w:rFonts w:hint="eastAsia" w:asciiTheme="minorEastAsia" w:hAnsiTheme="minorEastAsia" w:eastAsiaTheme="minorEastAsia" w:cstheme="minorEastAsia"/>
          <w:lang w:eastAsia="zh-Hans"/>
        </w:rPr>
        <w:t>13.价格政策与调整</w:t>
      </w:r>
      <w:bookmarkEnd w:id="66"/>
    </w:p>
    <w:p w14:paraId="42A3A371">
      <w:pPr>
        <w:ind w:firstLine="56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Hans"/>
        </w:rPr>
        <w:t>收费标准参照《西安市机动车停车收费管理办法》、《西安市城市道路和政府定价停车场机动车停车收费标准》的规定，由乙方自主定价，但应符合相关政策规定及甲方要求。实施机构对资源承接方停车位收费行为进行监督管理，若发现资源承接方违反相关法律、法规、政策的收费行为，实施机构有权要求资源承接方整改，同时依照法律规定及本协议追究资源承接方相关法律责任。</w:t>
      </w:r>
    </w:p>
    <w:p w14:paraId="678C397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资源承接方因陕西省居民消费价格指数（CPI）较基期增长3%以上时，可以向政府申请启动价格调整，但最终调整价以相关政策文件为准，调整价格只适用于调整后年度，对以前年度不具追溯力。</w:t>
      </w:r>
    </w:p>
    <w:p w14:paraId="308433D2">
      <w:pPr>
        <w:pStyle w:val="3"/>
        <w:ind w:firstLine="560"/>
        <w:rPr>
          <w:rFonts w:hint="eastAsia" w:asciiTheme="minorEastAsia" w:hAnsiTheme="minorEastAsia" w:eastAsiaTheme="minorEastAsia" w:cstheme="minorEastAsia"/>
          <w:lang w:eastAsia="zh-Hans"/>
        </w:rPr>
      </w:pPr>
      <w:bookmarkStart w:id="67" w:name="_Toc223006275"/>
      <w:r>
        <w:rPr>
          <w:rFonts w:hint="eastAsia" w:asciiTheme="minorEastAsia" w:hAnsiTheme="minorEastAsia" w:eastAsiaTheme="minorEastAsia" w:cstheme="minorEastAsia"/>
          <w:lang w:eastAsia="zh-Hans"/>
        </w:rPr>
        <w:t>14.风险与保险</w:t>
      </w:r>
      <w:bookmarkEnd w:id="67"/>
    </w:p>
    <w:p w14:paraId="5AC4CD4A">
      <w:pPr>
        <w:pStyle w:val="4"/>
        <w:ind w:firstLine="560"/>
        <w:rPr>
          <w:rFonts w:hint="eastAsia" w:asciiTheme="minorEastAsia" w:hAnsiTheme="minorEastAsia" w:eastAsiaTheme="minorEastAsia" w:cstheme="minorEastAsia"/>
          <w:lang w:eastAsia="zh-Hans"/>
        </w:rPr>
      </w:pPr>
      <w:bookmarkStart w:id="68" w:name="_Toc223006276"/>
      <w:r>
        <w:rPr>
          <w:rFonts w:hint="eastAsia" w:asciiTheme="minorEastAsia" w:hAnsiTheme="minorEastAsia" w:eastAsiaTheme="minorEastAsia" w:cstheme="minorEastAsia"/>
          <w:lang w:eastAsia="zh-Hans"/>
        </w:rPr>
        <w:t>14.1 风险分配原则</w:t>
      </w:r>
      <w:bookmarkEnd w:id="68"/>
    </w:p>
    <w:p w14:paraId="4B046D1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国家政策、法律法规和行政审批等风险由政府承担；项目建设、财务、运营维护、移交等风险由社会资本承担；不可抗力等风险由政府和社会资本合理共担。本项目风险分配详见附件</w:t>
      </w:r>
      <w:r>
        <w:rPr>
          <w:rFonts w:hint="eastAsia" w:asciiTheme="minorEastAsia" w:hAnsiTheme="minorEastAsia" w:eastAsiaTheme="minorEastAsia" w:cstheme="minorEastAsia"/>
        </w:rPr>
        <w:t>8</w:t>
      </w:r>
      <w:r>
        <w:rPr>
          <w:rFonts w:hint="eastAsia" w:asciiTheme="minorEastAsia" w:hAnsiTheme="minorEastAsia" w:eastAsiaTheme="minorEastAsia" w:cstheme="minorEastAsia"/>
          <w:lang w:eastAsia="zh-Hans"/>
        </w:rPr>
        <w:t>：风险分配基本框架表。</w:t>
      </w:r>
    </w:p>
    <w:p w14:paraId="03DA0A10">
      <w:pPr>
        <w:pStyle w:val="4"/>
        <w:ind w:firstLine="560"/>
        <w:rPr>
          <w:rFonts w:hint="eastAsia" w:asciiTheme="minorEastAsia" w:hAnsiTheme="minorEastAsia" w:eastAsiaTheme="minorEastAsia" w:cstheme="minorEastAsia"/>
          <w:lang w:eastAsia="zh-Hans"/>
        </w:rPr>
      </w:pPr>
      <w:bookmarkStart w:id="69" w:name="_Toc223006277"/>
      <w:r>
        <w:rPr>
          <w:rFonts w:hint="eastAsia" w:asciiTheme="minorEastAsia" w:hAnsiTheme="minorEastAsia" w:eastAsiaTheme="minorEastAsia" w:cstheme="minorEastAsia"/>
          <w:lang w:eastAsia="zh-Hans"/>
        </w:rPr>
        <w:t>14.2 购买保险</w:t>
      </w:r>
      <w:bookmarkEnd w:id="69"/>
    </w:p>
    <w:p w14:paraId="5EC0C13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合作期间内，资源承接方应根据适用法律和谨慎运营惯例，自费购买和维持以下保险：</w:t>
      </w:r>
    </w:p>
    <w:p w14:paraId="23C0ED5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14.2.1 建设期的保险：货物运输险、货物运输险之完工迟延险、建筑安装工程一切险、建筑安装工程一切险之完工迟延险、第三者责任险、其他通常的合理的，或遵循贷款人及适用法律要求所必要的保险。</w:t>
      </w:r>
    </w:p>
    <w:p w14:paraId="3B5DE95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14.2.2 运营期的保险：财产一切险、财产一切险之业务中断险、机械故障损失险、机械故障损失险之业务中断险、第三者责任险及其他通常的合理的，或遵循贷款人及适用法律要求所必要的保险。</w:t>
      </w:r>
    </w:p>
    <w:p w14:paraId="1CCD7411">
      <w:pPr>
        <w:pStyle w:val="3"/>
        <w:ind w:firstLine="560"/>
        <w:rPr>
          <w:rFonts w:hint="eastAsia" w:asciiTheme="minorEastAsia" w:hAnsiTheme="minorEastAsia" w:eastAsiaTheme="minorEastAsia" w:cstheme="minorEastAsia"/>
          <w:lang w:eastAsia="zh-Hans"/>
        </w:rPr>
      </w:pPr>
      <w:bookmarkStart w:id="70" w:name="_Toc223006278"/>
      <w:r>
        <w:rPr>
          <w:rFonts w:hint="eastAsia" w:asciiTheme="minorEastAsia" w:hAnsiTheme="minorEastAsia" w:eastAsiaTheme="minorEastAsia" w:cstheme="minorEastAsia"/>
          <w:lang w:eastAsia="zh-Hans"/>
        </w:rPr>
        <w:t>15.法律变更与不可抗力</w:t>
      </w:r>
      <w:bookmarkEnd w:id="70"/>
    </w:p>
    <w:p w14:paraId="10EA7244">
      <w:pPr>
        <w:pStyle w:val="4"/>
        <w:ind w:firstLine="560"/>
        <w:rPr>
          <w:rFonts w:hint="eastAsia" w:asciiTheme="minorEastAsia" w:hAnsiTheme="minorEastAsia" w:eastAsiaTheme="minorEastAsia" w:cstheme="minorEastAsia"/>
          <w:lang w:eastAsia="zh-Hans"/>
        </w:rPr>
      </w:pPr>
      <w:bookmarkStart w:id="71" w:name="_Toc223006279"/>
      <w:r>
        <w:rPr>
          <w:rFonts w:hint="eastAsia" w:asciiTheme="minorEastAsia" w:hAnsiTheme="minorEastAsia" w:eastAsiaTheme="minorEastAsia" w:cstheme="minorEastAsia"/>
          <w:lang w:eastAsia="zh-Hans"/>
        </w:rPr>
        <w:t>15.1 守法义务</w:t>
      </w:r>
      <w:bookmarkEnd w:id="71"/>
    </w:p>
    <w:p w14:paraId="0D2E562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在实施本项目的过程中有义务遵守法律的规定。双方在履行本协议的同时，应当遵守国家法律和政策关于政府采购过程中依据政府采购相关法律已经确定的各项要求，例如采购本国货物和服务、保护环境、扶持不发达地区和少数民族地区、促进中小企业发展、技术引进和本地化转移等要求。</w:t>
      </w:r>
    </w:p>
    <w:p w14:paraId="45AABEAD">
      <w:pPr>
        <w:pStyle w:val="4"/>
        <w:ind w:firstLine="560"/>
        <w:rPr>
          <w:rFonts w:hint="eastAsia" w:asciiTheme="minorEastAsia" w:hAnsiTheme="minorEastAsia" w:eastAsiaTheme="minorEastAsia" w:cstheme="minorEastAsia"/>
          <w:lang w:eastAsia="zh-Hans"/>
        </w:rPr>
      </w:pPr>
      <w:bookmarkStart w:id="72" w:name="_Toc223006280"/>
      <w:r>
        <w:rPr>
          <w:rFonts w:hint="eastAsia" w:asciiTheme="minorEastAsia" w:hAnsiTheme="minorEastAsia" w:eastAsiaTheme="minorEastAsia" w:cstheme="minorEastAsia"/>
          <w:lang w:eastAsia="zh-Hans"/>
        </w:rPr>
        <w:t>15.2 法律变更的要件</w:t>
      </w:r>
      <w:bookmarkEnd w:id="72"/>
    </w:p>
    <w:p w14:paraId="4261BD6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本条中所指的法律变更需同时符合以下三个条件：</w:t>
      </w:r>
    </w:p>
    <w:p w14:paraId="3AABE7F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（a）本条所称的法律是指中华人民共和国法律、法律解释、行政法规、部门规章、地方政府规章、规范性文件及政策等。</w:t>
      </w:r>
    </w:p>
    <w:p w14:paraId="6FEFD15D">
      <w:pPr>
        <w:ind w:firstLine="56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Hans"/>
        </w:rPr>
        <w:t>（b）前述的法律在协议生效日后发生变更。</w:t>
      </w:r>
    </w:p>
    <w:p w14:paraId="5E3FD1A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（c）在协议生效日后颁布的各级人民代表大会或其常务委员会或有关政府或政府部门对任何法律的实施、修订、废止或对其解释或执行的任何变动。</w:t>
      </w:r>
    </w:p>
    <w:p w14:paraId="515B9B1C">
      <w:pPr>
        <w:pStyle w:val="4"/>
        <w:ind w:firstLine="560"/>
        <w:rPr>
          <w:rFonts w:hint="eastAsia" w:asciiTheme="minorEastAsia" w:hAnsiTheme="minorEastAsia" w:eastAsiaTheme="minorEastAsia" w:cstheme="minorEastAsia"/>
          <w:lang w:eastAsia="zh-Hans"/>
        </w:rPr>
      </w:pPr>
      <w:bookmarkStart w:id="73" w:name="_Toc223006281"/>
      <w:r>
        <w:rPr>
          <w:rFonts w:hint="eastAsia" w:asciiTheme="minorEastAsia" w:hAnsiTheme="minorEastAsia" w:eastAsiaTheme="minorEastAsia" w:cstheme="minorEastAsia"/>
          <w:lang w:eastAsia="zh-Hans"/>
        </w:rPr>
        <w:t>15.3 法律变更的效果</w:t>
      </w:r>
      <w:bookmarkEnd w:id="73"/>
    </w:p>
    <w:p w14:paraId="425A630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政府方、实施机构或政府部门在职权范围内对所颁行的法律做出的变更，应认定为可控的法律变更。由国家或政府方的上级政府或其工作部门统一颁行的法律，应认定为不可控的法律变更。可控的法律变更与不可控的法律变更均视为不可抗力。</w:t>
      </w:r>
    </w:p>
    <w:p w14:paraId="2095E5ED">
      <w:pPr>
        <w:pStyle w:val="4"/>
        <w:ind w:firstLine="560"/>
        <w:rPr>
          <w:rFonts w:hint="eastAsia" w:asciiTheme="minorEastAsia" w:hAnsiTheme="minorEastAsia" w:eastAsiaTheme="minorEastAsia" w:cstheme="minorEastAsia"/>
          <w:lang w:eastAsia="zh-Hans"/>
        </w:rPr>
      </w:pPr>
      <w:bookmarkStart w:id="74" w:name="_Toc223006282"/>
      <w:r>
        <w:rPr>
          <w:rFonts w:hint="eastAsia" w:asciiTheme="minorEastAsia" w:hAnsiTheme="minorEastAsia" w:eastAsiaTheme="minorEastAsia" w:cstheme="minorEastAsia"/>
          <w:lang w:eastAsia="zh-Hans"/>
        </w:rPr>
        <w:t>15.4 不可抗力的情形</w:t>
      </w:r>
      <w:bookmarkEnd w:id="74"/>
    </w:p>
    <w:p w14:paraId="31A27B8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15.4.1 不可抗力需同时符合以下三个条件：</w:t>
      </w:r>
    </w:p>
    <w:p w14:paraId="4169E05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（a）在投标（响应）日时不能合理预见的；</w:t>
      </w:r>
    </w:p>
    <w:p w14:paraId="15D0D5A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（b）声称遭受不可抗力影响的一方对该事件及其后果不能克服的且不能避免的客观情况；</w:t>
      </w:r>
    </w:p>
    <w:p w14:paraId="07A061C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（c）不能归因于协议任何一方的；</w:t>
      </w:r>
    </w:p>
    <w:p w14:paraId="2ED3AC1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15.4.2 政治不可抗力事件包括：</w:t>
      </w:r>
    </w:p>
    <w:p w14:paraId="097CD86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（a）全国性、地区性或行业性罢工；</w:t>
      </w:r>
    </w:p>
    <w:p w14:paraId="158795A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政府行为：指因公共利益需要，政府部门或实施机构依法对项目或其任何部分实行的征收、征用、国有化。且在紧急情况下，实施机构有权按照适用法律征收或征用项目设施暂代资源承接方运营维护项目设施；</w:t>
      </w:r>
    </w:p>
    <w:p w14:paraId="0D86040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（c）可控的法律变更与不可控的法律变更；</w:t>
      </w:r>
    </w:p>
    <w:p w14:paraId="6954ABB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（d）其他双方不能合理预见和控制的政治不可抗力情形。</w:t>
      </w:r>
    </w:p>
    <w:p w14:paraId="704CC0BB">
      <w:pPr>
        <w:ind w:firstLine="56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Hans"/>
        </w:rPr>
        <w:t>15.4.3 自然不可抗力事件包括：</w:t>
      </w:r>
    </w:p>
    <w:p w14:paraId="4B8AAEA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（a）雷电、干旱、地震、火山爆发、陨石撞击、山崩、山滑坡、水灾、暴风雨、海啸、洪水、台风、龙卷风、地隆、地陷或任何其它天灾；</w:t>
      </w:r>
    </w:p>
    <w:p w14:paraId="225C470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（b）大规模流行病、饥荒或瘟疫；</w:t>
      </w:r>
    </w:p>
    <w:p w14:paraId="491D3D5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（c）战争行为（无论是宣战的或未宣战的）、入侵、武装冲突或敌对行为、封锁、暴乱、恐怖行为或军事力量的使用；</w:t>
      </w:r>
    </w:p>
    <w:p w14:paraId="01C6369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（d）其他双方不能合理预见和控制的自然不抗力情形。</w:t>
      </w:r>
    </w:p>
    <w:p w14:paraId="2C29742F">
      <w:pPr>
        <w:pStyle w:val="4"/>
        <w:ind w:firstLine="560"/>
        <w:rPr>
          <w:rFonts w:hint="eastAsia" w:asciiTheme="minorEastAsia" w:hAnsiTheme="minorEastAsia" w:eastAsiaTheme="minorEastAsia" w:cstheme="minorEastAsia"/>
          <w:lang w:eastAsia="zh-Hans"/>
        </w:rPr>
      </w:pPr>
      <w:bookmarkStart w:id="75" w:name="_Toc223006283"/>
      <w:r>
        <w:rPr>
          <w:rFonts w:hint="eastAsia" w:asciiTheme="minorEastAsia" w:hAnsiTheme="minorEastAsia" w:eastAsiaTheme="minorEastAsia" w:cstheme="minorEastAsia"/>
          <w:lang w:eastAsia="zh-Hans"/>
        </w:rPr>
        <w:t>15.5 不可抗力的通知与处理</w:t>
      </w:r>
      <w:bookmarkEnd w:id="75"/>
    </w:p>
    <w:p w14:paraId="4D5AF86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15.5.1 通知</w:t>
      </w:r>
    </w:p>
    <w:p w14:paraId="35F97E2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声称受到不可抗力影响的一方应在发生不可抗力或知道发生不可抗力之后，即时以书面通知另一方，并详细描述不可抗力的发生情况和可能导致的后果，包括该不可抗力发生的时间和预计停止的时间，以及对该方履行在本协议项下义务的影响，并在另一方合理要求时提供证明。</w:t>
      </w:r>
    </w:p>
    <w:p w14:paraId="3F68C6F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15.5.2 处理</w:t>
      </w:r>
    </w:p>
    <w:p w14:paraId="31A547F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受到不可抗力影响的一方应尽合理的努力并采取相应的措施减少不可抗力对其造成的影响。双方应协商制定并实施补救计划及合理的替代措施以消除不可抗力的影响，并决定为尽量减少不可抗力给每一方带来的损失应采取的合理的手段。声称受到不可抗力影响的一方在不可抗力的影响消除之后应尽快恢复履行本协议项下的义务。</w:t>
      </w:r>
    </w:p>
    <w:p w14:paraId="2CC7D4CF">
      <w:pPr>
        <w:pStyle w:val="4"/>
        <w:ind w:firstLine="560"/>
        <w:rPr>
          <w:rFonts w:hint="eastAsia" w:asciiTheme="minorEastAsia" w:hAnsiTheme="minorEastAsia" w:eastAsiaTheme="minorEastAsia" w:cstheme="minorEastAsia"/>
          <w:lang w:eastAsia="zh-Hans"/>
        </w:rPr>
      </w:pPr>
      <w:bookmarkStart w:id="76" w:name="_Toc223006284"/>
      <w:r>
        <w:rPr>
          <w:rFonts w:hint="eastAsia" w:asciiTheme="minorEastAsia" w:hAnsiTheme="minorEastAsia" w:eastAsiaTheme="minorEastAsia" w:cstheme="minorEastAsia"/>
          <w:lang w:eastAsia="zh-Hans"/>
        </w:rPr>
        <w:t>15.6 不可抗力的效果</w:t>
      </w:r>
      <w:bookmarkEnd w:id="76"/>
    </w:p>
    <w:p w14:paraId="093BD48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发生不可抗力的情形时，资源承接方有权请求实施机构延长相应的建设期或运营期、免除违约责任、暂停本协议的履行、或要求公平补偿。</w:t>
      </w:r>
    </w:p>
    <w:p w14:paraId="5754216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发生不可抗力的情形后，在采取通过延长合作期、免除违约责任、暂停本协议的履行，或补偿仍无法达成协议目的的，实施机构、资源承接方均有权提前终止本协议，并按照本协议第 17.3 条、第 17.4条的约定处理。</w:t>
      </w:r>
    </w:p>
    <w:p w14:paraId="5191F2F0">
      <w:pPr>
        <w:pStyle w:val="3"/>
        <w:ind w:firstLine="560"/>
        <w:rPr>
          <w:rFonts w:hint="eastAsia" w:asciiTheme="minorEastAsia" w:hAnsiTheme="minorEastAsia" w:eastAsiaTheme="minorEastAsia" w:cstheme="minorEastAsia"/>
          <w:lang w:eastAsia="zh-Hans"/>
        </w:rPr>
      </w:pPr>
      <w:bookmarkStart w:id="77" w:name="_Toc223006285"/>
      <w:r>
        <w:rPr>
          <w:rFonts w:hint="eastAsia" w:asciiTheme="minorEastAsia" w:hAnsiTheme="minorEastAsia" w:eastAsiaTheme="minorEastAsia" w:cstheme="minorEastAsia"/>
          <w:lang w:eastAsia="zh-Hans"/>
        </w:rPr>
        <w:t>16.政府方介入权与公众监督</w:t>
      </w:r>
      <w:bookmarkEnd w:id="77"/>
    </w:p>
    <w:p w14:paraId="6721B375">
      <w:pPr>
        <w:pStyle w:val="4"/>
        <w:ind w:firstLine="560"/>
        <w:rPr>
          <w:rFonts w:hint="eastAsia" w:asciiTheme="minorEastAsia" w:hAnsiTheme="minorEastAsia" w:eastAsiaTheme="minorEastAsia" w:cstheme="minorEastAsia"/>
          <w:lang w:eastAsia="zh-Hans"/>
        </w:rPr>
      </w:pPr>
      <w:bookmarkStart w:id="78" w:name="_Toc223006286"/>
      <w:r>
        <w:rPr>
          <w:rFonts w:hint="eastAsia" w:asciiTheme="minorEastAsia" w:hAnsiTheme="minorEastAsia" w:eastAsiaTheme="minorEastAsia" w:cstheme="minorEastAsia"/>
          <w:lang w:eastAsia="zh-Hans"/>
        </w:rPr>
        <w:t>16.1 政府方介入权</w:t>
      </w:r>
      <w:bookmarkEnd w:id="78"/>
    </w:p>
    <w:p w14:paraId="12EE7A4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16.1.1 介入权行使的要件</w:t>
      </w:r>
    </w:p>
    <w:p w14:paraId="61D5C96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出现下列情况之一的，实施机构有权行使介入权：</w:t>
      </w:r>
    </w:p>
    <w:p w14:paraId="619CB64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16.1.1.1 建设期内资源承接方书面表示放弃项目或被视为放弃项目建设；</w:t>
      </w:r>
    </w:p>
    <w:p w14:paraId="5408D82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（a）资源承接方放弃的情形。资源承接方以书面形式表示放弃本项目建设或运营。</w:t>
      </w:r>
    </w:p>
    <w:p w14:paraId="7258D8E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（b）视为资源承接方放弃的情形。除不可抗力或实施机构违约的情形外，如果资源承接方出现下列情形，则本项目的建设应视为已被资源承接方放弃：</w:t>
      </w:r>
    </w:p>
    <w:p w14:paraId="55872C5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i.书面通知实施机构其已终止任一建设工程，且不打算重新开始施工；</w:t>
      </w:r>
    </w:p>
    <w:p w14:paraId="3DBC74B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ii.由于资源承接方原因未能在预计开工日之后 90 日内开始项目的建设；</w:t>
      </w:r>
    </w:p>
    <w:p w14:paraId="01D7A24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iii.由于资源承接方原因未能在任何不可抗力事件结束后 90 日内恢复建设工程施工；</w:t>
      </w:r>
    </w:p>
    <w:p w14:paraId="4878231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iv.资源承接方出于任何其他原因在开始商业运营日前停止工程建设，撤走项目场地全部或大部分的工作人员累计超过 90 日以上的。</w:t>
      </w:r>
    </w:p>
    <w:p w14:paraId="43E6881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16.1.1.2 资源承接方违反本协议约定建设、运营维护项目，且在本协议约定期限内，或收到实施机构通知后的 14 日内未能或无法纠正和改正，包括：</w:t>
      </w:r>
    </w:p>
    <w:p w14:paraId="7DFFB25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（a）因经营管理不善等原因，造成财务状况严重恶化，影响本项目正常运营的；</w:t>
      </w:r>
    </w:p>
    <w:p w14:paraId="5568D71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（b）因可归责于资源承接方的原因导致项目设计、施工等存在重大缺陷，影响本项目正常运营的；</w:t>
      </w:r>
    </w:p>
    <w:p w14:paraId="320F9AF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（c）擅自转让、出租项目经营权的；</w:t>
      </w:r>
    </w:p>
    <w:p w14:paraId="1BB7DB6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（d）擅自将所经营的项目设施或收益权进行处置或者设置抵押或质押的；</w:t>
      </w:r>
    </w:p>
    <w:p w14:paraId="7767EB2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（e）因管理不善，发生较大或重特大质量事故、安全事故的；</w:t>
      </w:r>
    </w:p>
    <w:p w14:paraId="68B646D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（f）擅自停业、歇业。</w:t>
      </w:r>
    </w:p>
    <w:p w14:paraId="33C854C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16.1.1.3 存在危及社会公众人身健康或安全、财产安全或环境安全的情形，且资源承接方不具备应对能力的；发生紧急情况或危机，且实施机构有理由认为该紧急情况或危机将导致人员伤亡、严重财产损失或造成环境污染且资源承接方不具备应对能力的。</w:t>
      </w:r>
    </w:p>
    <w:p w14:paraId="2769831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16.1.2 介入的方式</w:t>
      </w:r>
    </w:p>
    <w:p w14:paraId="15D66AD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行使介入权的，有权采用增加监管方式、监管频次、替代部分履行、整顿或临时接管等方式，以保证项目顺利运行。实施机构行使介入权，不应被视为根据本协议受让项目资产或承担资源承接方的义务。实施机构行使介入权后，资源承接方应配合实施机构及其指定第三方，并向其提供所有合理的协助。</w:t>
      </w:r>
    </w:p>
    <w:p w14:paraId="5DCE568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16.1.3 介入的限制</w:t>
      </w:r>
    </w:p>
    <w:p w14:paraId="4FDA8CB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实施机构无正当理由行使介入权，影响本协议正常履行且损害资源承接方利益的，资源承接方有权要求实施机构赔偿相应损失。</w:t>
      </w:r>
    </w:p>
    <w:p w14:paraId="0E5595F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16.1.4 介入权的行使程序</w:t>
      </w:r>
    </w:p>
    <w:p w14:paraId="0465CDE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16.1.4.1 通知</w:t>
      </w:r>
    </w:p>
    <w:p w14:paraId="5099468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实施机构根据本协议约定行使介入权之前，应提前 7 日以书面形式通知资源承接方，通知内容包括：</w:t>
      </w:r>
    </w:p>
    <w:p w14:paraId="2334601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（a）介入原因；</w:t>
      </w:r>
    </w:p>
    <w:p w14:paraId="2B566C0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（b）介入方式；</w:t>
      </w:r>
    </w:p>
    <w:p w14:paraId="2D7A378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（c）介入的范围和程度；</w:t>
      </w:r>
    </w:p>
    <w:p w14:paraId="44B2309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（d）介入权行使主体；</w:t>
      </w:r>
    </w:p>
    <w:p w14:paraId="02FE907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（e）介入起始日期；</w:t>
      </w:r>
    </w:p>
    <w:p w14:paraId="7AF99C0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（f）介入持续期限；</w:t>
      </w:r>
    </w:p>
    <w:p w14:paraId="54E4384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（g）介入对乙方的影响和处理等。</w:t>
      </w:r>
    </w:p>
    <w:p w14:paraId="524FC3F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16.1.4.2 资源承接方的异议</w:t>
      </w:r>
    </w:p>
    <w:p w14:paraId="591D180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资源承接方对实施机构行使介入权有异议的，应自收到实施机构发出的前述通知后 3 日内提出异议，实施机构收到异议后，应在 7 日内给予回复。双方无法达成一致意见的，按照本协议第 19 条的约定执行，但争议解决期间内不影响实施机构行使介入权。</w:t>
      </w:r>
    </w:p>
    <w:p w14:paraId="4C3044D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16.1.5 介入持续时间和范围</w:t>
      </w:r>
    </w:p>
    <w:p w14:paraId="72CF07E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介入的时间和范围不应超过足以使资源承接方改正或可以合理地被期望有能力改正导致介入的违约事件，或缓解紧急事件或使资源承接方具备应对能力解除紧急事件所必需的范围和程度。实施机构根据本协议第 16.1.1.1 条、第 16.1.1.2 条约定进行的介入仍然无法补救资源承接方的违约行为，实施机构有权根据第 17.6.1 条约定终止本协议。</w:t>
      </w:r>
    </w:p>
    <w:p w14:paraId="0B6F5AE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16.1.6 介入期间的费用和收入</w:t>
      </w:r>
    </w:p>
    <w:p w14:paraId="49FE062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实施机构根据本协议第 16.1.1.3 条、第 16.1.1.4 条约定进行的介入，实施机构应承担由此引发的所有费用，介入期间的运营收入应归资源承接方所有。</w:t>
      </w:r>
    </w:p>
    <w:p w14:paraId="313E407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16.1.6.1 实施机构根据本协议第 16.1.1.1 条 、第 16.1.1.2 条约定进行的介入，资源承接方应承担因实施机构介入所引发的所有费用，该费用实施机构有权从服务费中扣减或者要求资源承接方另行支付。</w:t>
      </w:r>
    </w:p>
    <w:p w14:paraId="3C3CB1B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16.1.6.2 介入期间的运营收入应归资源承接方所有，但是实施机构按照协议约定仅就不受资源承接方违约影响部分支付服务费。</w:t>
      </w:r>
    </w:p>
    <w:p w14:paraId="7F7B473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16.1.6.3实施机构应在停止介入后30日内将介入过程中发生的费用明细交予资源承接方。</w:t>
      </w:r>
    </w:p>
    <w:p w14:paraId="264C9BE3">
      <w:pPr>
        <w:pStyle w:val="4"/>
        <w:ind w:firstLine="560"/>
        <w:rPr>
          <w:rFonts w:hint="eastAsia" w:asciiTheme="minorEastAsia" w:hAnsiTheme="minorEastAsia" w:eastAsiaTheme="minorEastAsia" w:cstheme="minorEastAsia"/>
          <w:lang w:eastAsia="zh-Hans"/>
        </w:rPr>
      </w:pPr>
      <w:bookmarkStart w:id="79" w:name="_Toc223006287"/>
      <w:r>
        <w:rPr>
          <w:rFonts w:hint="eastAsia" w:asciiTheme="minorEastAsia" w:hAnsiTheme="minorEastAsia" w:eastAsiaTheme="minorEastAsia" w:cstheme="minorEastAsia"/>
          <w:lang w:eastAsia="zh-Hans"/>
        </w:rPr>
        <w:t>16.</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Hans"/>
        </w:rPr>
        <w:t xml:space="preserve"> 公众监督</w:t>
      </w:r>
      <w:bookmarkEnd w:id="79"/>
    </w:p>
    <w:p w14:paraId="640521D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16.</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Hans"/>
        </w:rPr>
        <w:t>.1 保障公众知情权</w:t>
      </w:r>
    </w:p>
    <w:p w14:paraId="33F00EC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资源承接方应保障公众的知情权，接受社会监督，依法依规公开披露本项目相关信息，涉及国家安全和利益的国家秘密、影响公共安全和公共秩序的信息、应该保守的商业秘密除外。</w:t>
      </w:r>
    </w:p>
    <w:p w14:paraId="1B746BD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16.</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Hans"/>
        </w:rPr>
        <w:t>.2 公众监督的形式</w:t>
      </w:r>
    </w:p>
    <w:p w14:paraId="5C5A1F1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公众监督的实现形式，包括但不限于聘请公众监督员、公众问卷调查以及举行价格听证会、邀请公众代表参加中期评估等。</w:t>
      </w:r>
    </w:p>
    <w:p w14:paraId="0867F5E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16.</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Hans"/>
        </w:rPr>
        <w:t>.3 公众监督的效果</w:t>
      </w:r>
    </w:p>
    <w:p w14:paraId="1752318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社会公众及项目利益相关人发现项目存在违法、违约情形或公共产品和服务不达标准的，可向政府职能部门提请监督检查或向资源承接方提出投诉及意见；资源承接方应接受并妥善处理利益相关人的投诉和意见，利益相关人包括但不限于受本项目影响的组织或个人，并将对公众投诉的处理情况等相关信息予以公开。</w:t>
      </w:r>
    </w:p>
    <w:p w14:paraId="4742FD3B">
      <w:pPr>
        <w:pStyle w:val="3"/>
        <w:ind w:firstLine="560"/>
        <w:rPr>
          <w:rFonts w:hint="eastAsia" w:asciiTheme="minorEastAsia" w:hAnsiTheme="minorEastAsia" w:eastAsiaTheme="minorEastAsia" w:cstheme="minorEastAsia"/>
          <w:lang w:eastAsia="zh-Hans"/>
        </w:rPr>
      </w:pPr>
      <w:bookmarkStart w:id="80" w:name="_Toc223006288"/>
      <w:r>
        <w:rPr>
          <w:rFonts w:hint="eastAsia" w:asciiTheme="minorEastAsia" w:hAnsiTheme="minorEastAsia" w:eastAsiaTheme="minorEastAsia" w:cstheme="minorEastAsia"/>
          <w:lang w:eastAsia="zh-Hans"/>
        </w:rPr>
        <w:t>17.违约及提前终止</w:t>
      </w:r>
      <w:bookmarkEnd w:id="80"/>
    </w:p>
    <w:p w14:paraId="6FF99D91">
      <w:pPr>
        <w:pStyle w:val="4"/>
        <w:ind w:firstLine="560"/>
        <w:rPr>
          <w:rFonts w:hint="eastAsia" w:asciiTheme="minorEastAsia" w:hAnsiTheme="minorEastAsia" w:eastAsiaTheme="minorEastAsia" w:cstheme="minorEastAsia"/>
          <w:lang w:eastAsia="zh-Hans"/>
        </w:rPr>
      </w:pPr>
      <w:bookmarkStart w:id="81" w:name="_Toc223006289"/>
      <w:r>
        <w:rPr>
          <w:rFonts w:hint="eastAsia" w:asciiTheme="minorEastAsia" w:hAnsiTheme="minorEastAsia" w:eastAsiaTheme="minorEastAsia" w:cstheme="minorEastAsia"/>
          <w:lang w:eastAsia="zh-Hans"/>
        </w:rPr>
        <w:t>17.1 违约</w:t>
      </w:r>
      <w:bookmarkEnd w:id="81"/>
    </w:p>
    <w:p w14:paraId="561EBB6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17.1.1 政府违约事件</w:t>
      </w:r>
    </w:p>
    <w:p w14:paraId="74088F2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下述每一条款所述事件，除资源承接方的违约或不可抗力的事件所致外，实施机构又未在有允许纠正的期限内纠正，即构成实施机构违约事件：</w:t>
      </w:r>
    </w:p>
    <w:p w14:paraId="076977A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（a）实施机构在本协议条款第 3.1 条中的任何声明被证明在做出时在实质方面不正确，使资源承接方履行本协议的能力受到严重的不利影响；</w:t>
      </w:r>
    </w:p>
    <w:p w14:paraId="741F440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（b）实施机构未能有效按协议条款维护资源承接方经营权的唯一性，对资源承接方的运营造成严重妨碍；</w:t>
      </w:r>
    </w:p>
    <w:p w14:paraId="6E810FD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（c）实施机构未按照本协议条款履行停车位场地、资产、设施设备或经营权移交，导致资源承接方无法如期进入商业运营或实施建设工程的；</w:t>
      </w:r>
    </w:p>
    <w:p w14:paraId="6849828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（d）实施机构未履行本协议项下的义务情节严重并导致协议目的无法达成的，实施机构在收到资源承接方要求补救的书面通知后 60 日内仍未能补救该实质性违约。</w:t>
      </w:r>
    </w:p>
    <w:p w14:paraId="67220DC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17.1.2 政府违约的效果</w:t>
      </w:r>
    </w:p>
    <w:p w14:paraId="20783C4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实施机构违约，经资源承接方催告后仍未改善的，资源承接方可请求延长相应的合作期或赔偿，或依协议条款第 17.2.1 条约定提前终止协议。</w:t>
      </w:r>
    </w:p>
    <w:p w14:paraId="3FAC47B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实施机构单方面提出变更或提前终止本协议的，应当向资源承接方给予补偿，具体计算方式如下：（</w:t>
      </w:r>
      <w:r>
        <w:rPr>
          <w:rFonts w:hint="eastAsia" w:asciiTheme="minorEastAsia" w:hAnsiTheme="minorEastAsia" w:eastAsiaTheme="minorEastAsia" w:cstheme="minorEastAsia"/>
        </w:rPr>
        <w:t>429,300,000</w:t>
      </w:r>
      <w:r>
        <w:rPr>
          <w:rFonts w:hint="eastAsia" w:asciiTheme="minorEastAsia" w:hAnsiTheme="minorEastAsia" w:eastAsiaTheme="minorEastAsia" w:cstheme="minorEastAsia"/>
          <w:lang w:eastAsia="zh-Hans"/>
        </w:rPr>
        <w:t>/30年*剩余年限*lpr*已经履行的年限）。因实施机构单方面变更、终止协议的行为给资源承接方造成其他损害的，应当予以赔偿。</w:t>
      </w:r>
    </w:p>
    <w:p w14:paraId="4F489AA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17.1.3 资源承接方违约事件</w:t>
      </w:r>
    </w:p>
    <w:p w14:paraId="2F623B6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（1）资源承接方在本协议第 4.1 条中的任何声明被证明在做出之时实质不属实，使资源承接方履行本协议的能力受到严重的不利影响；</w:t>
      </w:r>
    </w:p>
    <w:p w14:paraId="440739A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Hans"/>
        </w:rPr>
        <w:t>）资源承接方有协议第 16.1.1.1 条、第 16.1.1.2 条情形；</w:t>
      </w:r>
    </w:p>
    <w:p w14:paraId="643C612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w:t>
      </w: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Hans"/>
        </w:rPr>
        <w:t>）资源承接方擅自停业、歇业或未对项目设施进行定期维护、更新改造，而造成重大安全责任事故，严重影响和危害社会公众利益；</w:t>
      </w:r>
    </w:p>
    <w:p w14:paraId="7B684E6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w:t>
      </w:r>
      <w:r>
        <w:rPr>
          <w:rFonts w:hint="eastAsia" w:asciiTheme="minorEastAsia" w:hAnsiTheme="minorEastAsia" w:eastAsiaTheme="minorEastAsia" w:cstheme="minorEastAsia"/>
        </w:rPr>
        <w:t>4</w:t>
      </w:r>
      <w:r>
        <w:rPr>
          <w:rFonts w:hint="eastAsia" w:asciiTheme="minorEastAsia" w:hAnsiTheme="minorEastAsia" w:eastAsiaTheme="minorEastAsia" w:cstheme="minorEastAsia"/>
          <w:lang w:eastAsia="zh-Hans"/>
        </w:rPr>
        <w:t>）资源承接方根据适用法律进行清算或不能清偿到期债务；</w:t>
      </w:r>
    </w:p>
    <w:p w14:paraId="6B942CC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w:t>
      </w:r>
      <w:r>
        <w:rPr>
          <w:rFonts w:hint="eastAsia" w:asciiTheme="minorEastAsia" w:hAnsiTheme="minorEastAsia" w:eastAsiaTheme="minorEastAsia" w:cstheme="minorEastAsia"/>
        </w:rPr>
        <w:t>5</w:t>
      </w:r>
      <w:r>
        <w:rPr>
          <w:rFonts w:hint="eastAsia" w:asciiTheme="minorEastAsia" w:hAnsiTheme="minorEastAsia" w:eastAsiaTheme="minorEastAsia" w:cstheme="minorEastAsia"/>
          <w:lang w:eastAsia="zh-Hans"/>
        </w:rPr>
        <w:t>）资源承接方被吊销企业法人营业执照、责令停业或破产；</w:t>
      </w:r>
    </w:p>
    <w:p w14:paraId="2E863E5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w:t>
      </w: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eastAsia="zh-Hans"/>
        </w:rPr>
        <w:t>）资源承接方未履行本协议项下的义务构成对本协议的实质性违约，并且在收到实施机构说明其违约并要求补救的书面通知后 14 日内仍未能补救该实质性违约；</w:t>
      </w:r>
    </w:p>
    <w:p w14:paraId="6F1228B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w:t>
      </w:r>
      <w:r>
        <w:rPr>
          <w:rFonts w:hint="eastAsia" w:asciiTheme="minorEastAsia" w:hAnsiTheme="minorEastAsia" w:eastAsiaTheme="minorEastAsia" w:cstheme="minorEastAsia"/>
        </w:rPr>
        <w:t>7</w:t>
      </w:r>
      <w:r>
        <w:rPr>
          <w:rFonts w:hint="eastAsia" w:asciiTheme="minorEastAsia" w:hAnsiTheme="minorEastAsia" w:eastAsiaTheme="minorEastAsia" w:cstheme="minorEastAsia"/>
          <w:lang w:eastAsia="zh-Hans"/>
        </w:rPr>
        <w:t>）融资方开始行使其担保协议项下的担保权利，或融资方行使介入权未能有效补救资源承接方出现的重大经营或财务风险，或融资方选择不行使介入权进行补救，并可能造成项目无法正常运营。</w:t>
      </w:r>
    </w:p>
    <w:p w14:paraId="26B07BD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17.1.4 资源承接方违约的效果</w:t>
      </w:r>
    </w:p>
    <w:p w14:paraId="5B8B1FF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资源承接方有协议条款第 17.1.3 条情形时，实施机构有权视情形要求资源承接方限期改正。资源承接方逾期不改正时，实施机构有权要求资源承接方支付违约金、违约赔偿，或依协议条款第 17.6.1 条约定提前终止协议。</w:t>
      </w:r>
    </w:p>
    <w:p w14:paraId="03576B62">
      <w:pPr>
        <w:pStyle w:val="4"/>
        <w:ind w:firstLine="560"/>
        <w:rPr>
          <w:rFonts w:hint="eastAsia" w:asciiTheme="minorEastAsia" w:hAnsiTheme="minorEastAsia" w:eastAsiaTheme="minorEastAsia" w:cstheme="minorEastAsia"/>
          <w:lang w:eastAsia="zh-Hans"/>
        </w:rPr>
      </w:pPr>
      <w:bookmarkStart w:id="82" w:name="_Toc223006290"/>
      <w:r>
        <w:rPr>
          <w:rFonts w:hint="eastAsia" w:asciiTheme="minorEastAsia" w:hAnsiTheme="minorEastAsia" w:eastAsiaTheme="minorEastAsia" w:cstheme="minorEastAsia"/>
          <w:lang w:eastAsia="zh-Hans"/>
        </w:rPr>
        <w:t>17.2 第一类提前终止事由与效果（政府违约）</w:t>
      </w:r>
      <w:bookmarkEnd w:id="82"/>
    </w:p>
    <w:p w14:paraId="4BBF37B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17.2.1 政府违约终止</w:t>
      </w:r>
    </w:p>
    <w:p w14:paraId="01CA1CC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实施机构发生协议条款第 17.1.1 条约定的违约事由，在资源承接方催告后仍未改善，采取通过延长合作期，或赔偿仍无法达成协议目的的，资源承接方有权提前终止协议。</w:t>
      </w:r>
    </w:p>
    <w:p w14:paraId="41BF1DA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17.2.2 第一类终止事由的程序和效果发生第一类终止事由的效果如下：</w:t>
      </w:r>
    </w:p>
    <w:p w14:paraId="5BE1EA0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（a）提前终止协议；</w:t>
      </w:r>
    </w:p>
    <w:p w14:paraId="04DB4B1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（b）资源承接方按本协议约定要求赔偿；</w:t>
      </w:r>
    </w:p>
    <w:p w14:paraId="6BDD38B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（c）实施机构有权在完成赔偿后收回项目资产、项目设施及项目场地。</w:t>
      </w:r>
    </w:p>
    <w:p w14:paraId="20D6235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17.2.3 第一类终止赔偿金额的计算</w:t>
      </w:r>
    </w:p>
    <w:p w14:paraId="5215BC0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第一类终止赔偿金额的范围及计算，按附件</w:t>
      </w:r>
      <w:r>
        <w:rPr>
          <w:rFonts w:hint="eastAsia" w:asciiTheme="minorEastAsia" w:hAnsiTheme="minorEastAsia" w:eastAsiaTheme="minorEastAsia" w:cstheme="minorEastAsia"/>
        </w:rPr>
        <w:t>7</w:t>
      </w:r>
      <w:r>
        <w:rPr>
          <w:rFonts w:hint="eastAsia" w:asciiTheme="minorEastAsia" w:hAnsiTheme="minorEastAsia" w:eastAsiaTheme="minorEastAsia" w:cstheme="minorEastAsia"/>
          <w:lang w:eastAsia="zh-Hans"/>
        </w:rPr>
        <w:t>：协议终止赔偿与终止补偿金额的计算执行。</w:t>
      </w:r>
    </w:p>
    <w:p w14:paraId="26DC58ED">
      <w:pPr>
        <w:pStyle w:val="4"/>
        <w:ind w:firstLine="560"/>
        <w:rPr>
          <w:rFonts w:hint="eastAsia" w:asciiTheme="minorEastAsia" w:hAnsiTheme="minorEastAsia" w:eastAsiaTheme="minorEastAsia" w:cstheme="minorEastAsia"/>
          <w:lang w:eastAsia="zh-Hans"/>
        </w:rPr>
      </w:pPr>
      <w:bookmarkStart w:id="83" w:name="_Toc223006291"/>
      <w:r>
        <w:rPr>
          <w:rFonts w:hint="eastAsia" w:asciiTheme="minorEastAsia" w:hAnsiTheme="minorEastAsia" w:eastAsiaTheme="minorEastAsia" w:cstheme="minorEastAsia"/>
          <w:lang w:eastAsia="zh-Hans"/>
        </w:rPr>
        <w:t>17.3 第二类提前终止事由与效果（政治不可抗力）</w:t>
      </w:r>
      <w:bookmarkEnd w:id="83"/>
    </w:p>
    <w:p w14:paraId="6E4C4EE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17.3.1 政治不可抗力</w:t>
      </w:r>
    </w:p>
    <w:p w14:paraId="007B760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发生协议条款第 15.4.2 条约定的政治不可抗力事由，采取通过延长相应的合作期，或补偿仍无法达成协议目的的，任一方有权提前终止本协议。</w:t>
      </w:r>
    </w:p>
    <w:p w14:paraId="1B6B549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17.3.2 第二类提前终止的效果</w:t>
      </w:r>
    </w:p>
    <w:p w14:paraId="7F98F63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（a）任一方基于第二类终止事由提前终止协议后，资源承接方有权按照本协议约定请求公平补偿。</w:t>
      </w:r>
    </w:p>
    <w:p w14:paraId="2A2AFE7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（b）实施机构有权在完成补偿后收回项目资产、项目设施及项目场地。</w:t>
      </w:r>
    </w:p>
    <w:p w14:paraId="4E706F3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17.3.3 第二类补偿金额的计算</w:t>
      </w:r>
    </w:p>
    <w:p w14:paraId="4A68AC3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本协议前条的补偿金额的范围及计算，按附件</w:t>
      </w:r>
      <w:r>
        <w:rPr>
          <w:rFonts w:hint="eastAsia" w:asciiTheme="minorEastAsia" w:hAnsiTheme="minorEastAsia" w:eastAsiaTheme="minorEastAsia" w:cstheme="minorEastAsia"/>
        </w:rPr>
        <w:t>7</w:t>
      </w:r>
      <w:r>
        <w:rPr>
          <w:rFonts w:hint="eastAsia" w:asciiTheme="minorEastAsia" w:hAnsiTheme="minorEastAsia" w:eastAsiaTheme="minorEastAsia" w:cstheme="minorEastAsia"/>
          <w:lang w:eastAsia="zh-Hans"/>
        </w:rPr>
        <w:t>：协议终止赔偿与终止补偿金额的计算执行。</w:t>
      </w:r>
    </w:p>
    <w:p w14:paraId="2CA28149">
      <w:pPr>
        <w:pStyle w:val="4"/>
        <w:ind w:firstLine="560"/>
        <w:rPr>
          <w:rFonts w:hint="eastAsia" w:asciiTheme="minorEastAsia" w:hAnsiTheme="minorEastAsia" w:eastAsiaTheme="minorEastAsia" w:cstheme="minorEastAsia"/>
          <w:lang w:eastAsia="zh-Hans"/>
        </w:rPr>
      </w:pPr>
      <w:bookmarkStart w:id="84" w:name="_Toc223006292"/>
      <w:r>
        <w:rPr>
          <w:rFonts w:hint="eastAsia" w:asciiTheme="minorEastAsia" w:hAnsiTheme="minorEastAsia" w:eastAsiaTheme="minorEastAsia" w:cstheme="minorEastAsia"/>
          <w:lang w:eastAsia="zh-Hans"/>
        </w:rPr>
        <w:t>17.4 第三类提前终止事由与效果（自然不可抗力、政策因素、公益原因）</w:t>
      </w:r>
      <w:bookmarkEnd w:id="84"/>
    </w:p>
    <w:p w14:paraId="71468AC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17.4.1 自然不可抗力</w:t>
      </w:r>
    </w:p>
    <w:p w14:paraId="3A48175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发生协议条款约定的自然不可抗力事由，采取通过延长相应的合作期，或补偿仍无法达成协议目的的，任一方有权提前终止本协议。</w:t>
      </w:r>
    </w:p>
    <w:p w14:paraId="7AB547D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17.4.2 政策因素和公益原因终止</w:t>
      </w:r>
    </w:p>
    <w:p w14:paraId="1791E30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实施机构有权基于政策因素或公益原因提前终止协议。</w:t>
      </w:r>
    </w:p>
    <w:p w14:paraId="52BED71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17.4.3 第三类提前终止的效果</w:t>
      </w:r>
    </w:p>
    <w:p w14:paraId="7E4F320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（a）任一方基于第三类终止事由提前终止协议后，资源承接方有权按照本协议约定请求公平补偿。</w:t>
      </w:r>
    </w:p>
    <w:p w14:paraId="3F3EFCC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（b）实施机构有权在完成补偿后收回项目资产、项目设施及项目场地。</w:t>
      </w:r>
    </w:p>
    <w:p w14:paraId="6E73333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17.4.4 第三类补偿金额的计算</w:t>
      </w:r>
    </w:p>
    <w:p w14:paraId="5481445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本协议前条补偿金额的范围及计算，按附件</w:t>
      </w:r>
      <w:r>
        <w:rPr>
          <w:rFonts w:hint="eastAsia" w:asciiTheme="minorEastAsia" w:hAnsiTheme="minorEastAsia" w:eastAsiaTheme="minorEastAsia" w:cstheme="minorEastAsia"/>
        </w:rPr>
        <w:t>7</w:t>
      </w:r>
      <w:r>
        <w:rPr>
          <w:rFonts w:hint="eastAsia" w:asciiTheme="minorEastAsia" w:hAnsiTheme="minorEastAsia" w:eastAsiaTheme="minorEastAsia" w:cstheme="minorEastAsia"/>
          <w:lang w:eastAsia="zh-Hans"/>
        </w:rPr>
        <w:t>：协议终止赔偿与终止补偿金额的计算执行。</w:t>
      </w:r>
    </w:p>
    <w:p w14:paraId="7E277247">
      <w:pPr>
        <w:pStyle w:val="4"/>
        <w:ind w:firstLine="560"/>
        <w:rPr>
          <w:rFonts w:hint="eastAsia" w:asciiTheme="minorEastAsia" w:hAnsiTheme="minorEastAsia" w:eastAsiaTheme="minorEastAsia" w:cstheme="minorEastAsia"/>
          <w:lang w:eastAsia="zh-Hans"/>
        </w:rPr>
      </w:pPr>
      <w:bookmarkStart w:id="85" w:name="_Toc223006293"/>
      <w:r>
        <w:rPr>
          <w:rFonts w:hint="eastAsia" w:asciiTheme="minorEastAsia" w:hAnsiTheme="minorEastAsia" w:eastAsiaTheme="minorEastAsia" w:cstheme="minorEastAsia"/>
          <w:lang w:eastAsia="zh-Hans"/>
        </w:rPr>
        <w:t>17.5 第四类提前终止事由与效果（合意终止）</w:t>
      </w:r>
      <w:bookmarkEnd w:id="85"/>
    </w:p>
    <w:p w14:paraId="4A58023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17.5.1 第四类提前终止的事由</w:t>
      </w:r>
    </w:p>
    <w:p w14:paraId="2D5A75C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实施机构和资源承接方可以协商一致提前终止本协议的履行，资源承接方可以发出书面终止意向通知的方式要求终止协议，终止通知发出后本协议应按双方协商一致的移交日终止。</w:t>
      </w:r>
    </w:p>
    <w:p w14:paraId="02649C0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17.5.2 第四类提前终止的效果</w:t>
      </w:r>
    </w:p>
    <w:p w14:paraId="68C15D8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（a）双方基于第四类终止事由合意提前终止协议后，资源承接方有权就其直接损失请求公平补偿。</w:t>
      </w:r>
    </w:p>
    <w:p w14:paraId="5D2DE05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（b）实施机构有权在完成补偿后收回项目资产、项目设施及项目场地。</w:t>
      </w:r>
    </w:p>
    <w:p w14:paraId="4404EB8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17.5.3 第四类补偿金额的计算</w:t>
      </w:r>
    </w:p>
    <w:p w14:paraId="0BCBBC0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第四类补偿金额的计算，按照附件</w:t>
      </w:r>
      <w:r>
        <w:rPr>
          <w:rFonts w:hint="eastAsia" w:asciiTheme="minorEastAsia" w:hAnsiTheme="minorEastAsia" w:eastAsiaTheme="minorEastAsia" w:cstheme="minorEastAsia"/>
        </w:rPr>
        <w:t>7</w:t>
      </w:r>
      <w:r>
        <w:rPr>
          <w:rFonts w:hint="eastAsia" w:asciiTheme="minorEastAsia" w:hAnsiTheme="minorEastAsia" w:eastAsiaTheme="minorEastAsia" w:cstheme="minorEastAsia"/>
          <w:lang w:eastAsia="zh-Hans"/>
        </w:rPr>
        <w:t>：协议终止赔偿与终止补偿金额的计算执行。</w:t>
      </w:r>
    </w:p>
    <w:p w14:paraId="21F87424">
      <w:pPr>
        <w:pStyle w:val="4"/>
        <w:ind w:firstLine="560"/>
        <w:rPr>
          <w:rFonts w:hint="eastAsia" w:asciiTheme="minorEastAsia" w:hAnsiTheme="minorEastAsia" w:eastAsiaTheme="minorEastAsia" w:cstheme="minorEastAsia"/>
          <w:lang w:eastAsia="zh-Hans"/>
        </w:rPr>
      </w:pPr>
      <w:bookmarkStart w:id="86" w:name="_Toc223006294"/>
      <w:r>
        <w:rPr>
          <w:rFonts w:hint="eastAsia" w:asciiTheme="minorEastAsia" w:hAnsiTheme="minorEastAsia" w:eastAsiaTheme="minorEastAsia" w:cstheme="minorEastAsia"/>
          <w:lang w:eastAsia="zh-Hans"/>
        </w:rPr>
        <w:t>17.6 第五类提前终止事由与效果（资源承接方违约）</w:t>
      </w:r>
      <w:bookmarkEnd w:id="86"/>
    </w:p>
    <w:p w14:paraId="538C53A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17.6.1 资源承接方违约终止</w:t>
      </w:r>
    </w:p>
    <w:p w14:paraId="49713D6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资源承接方发生协议条款第 17.1.3 条约定的违约事由，或因为资源承接方的因素导致协议无法履行的，经过实施机构催告后仍未改善，或采取通过延长合作期，仍无法达成协议目的的，实施机构有权提前终止本协议。</w:t>
      </w:r>
    </w:p>
    <w:p w14:paraId="184E54B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17.6.2 第五类提前终止的程序和效果发生第五类终止事由的效果如下：</w:t>
      </w:r>
    </w:p>
    <w:p w14:paraId="1013D8D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（a）实施机构有权提前终止协议；</w:t>
      </w:r>
    </w:p>
    <w:p w14:paraId="6471FE4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（b）实施机构有权就其生的损失请求资源承接方赔偿，并有权从经营权对价款退还的金额中直接扣除上述赔偿金额；</w:t>
      </w:r>
    </w:p>
    <w:p w14:paraId="0434CBA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（c）如实施机构的损失大于经营权价款的退还金额，实施机构无需退还经营权对价款，并有权要求资源承接方赔偿差额。</w:t>
      </w:r>
    </w:p>
    <w:p w14:paraId="787581A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（d）实施机构有权停止经营权的授予，并收回项目资产、项目设施及项目场地。</w:t>
      </w:r>
    </w:p>
    <w:p w14:paraId="4EFD035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17.6.3 第五类终止经营权对价款退还与赔偿金额的计算第五类终止经营权对价款退还与赔偿金额的计算按附件</w:t>
      </w:r>
      <w:r>
        <w:rPr>
          <w:rFonts w:hint="eastAsia" w:asciiTheme="minorEastAsia" w:hAnsiTheme="minorEastAsia" w:eastAsiaTheme="minorEastAsia" w:cstheme="minorEastAsia"/>
        </w:rPr>
        <w:t>7</w:t>
      </w:r>
      <w:r>
        <w:rPr>
          <w:rFonts w:hint="eastAsia" w:asciiTheme="minorEastAsia" w:hAnsiTheme="minorEastAsia" w:eastAsiaTheme="minorEastAsia" w:cstheme="minorEastAsia"/>
          <w:lang w:eastAsia="zh-Hans"/>
        </w:rPr>
        <w:t>：协议终止赔偿与终止补偿金额的计算执行。</w:t>
      </w:r>
    </w:p>
    <w:p w14:paraId="5B772375">
      <w:pPr>
        <w:pStyle w:val="4"/>
        <w:ind w:firstLine="560"/>
        <w:rPr>
          <w:rFonts w:hint="eastAsia" w:asciiTheme="minorEastAsia" w:hAnsiTheme="minorEastAsia" w:eastAsiaTheme="minorEastAsia" w:cstheme="minorEastAsia"/>
          <w:lang w:eastAsia="zh-Hans"/>
        </w:rPr>
      </w:pPr>
      <w:bookmarkStart w:id="87" w:name="_Toc223006295"/>
      <w:r>
        <w:rPr>
          <w:rFonts w:hint="eastAsia" w:asciiTheme="minorEastAsia" w:hAnsiTheme="minorEastAsia" w:eastAsiaTheme="minorEastAsia" w:cstheme="minorEastAsia"/>
          <w:lang w:eastAsia="zh-Hans"/>
        </w:rPr>
        <w:t>17.7 提前终止的程序</w:t>
      </w:r>
      <w:bookmarkEnd w:id="87"/>
    </w:p>
    <w:p w14:paraId="0498387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按照第一类、第二类、第三类、第五类提前终止事由发出的任何终止意向通知，应表述引起发出该通知的一方违约行为或不可抗力、政策因素、公益原因事件的合理详细的情况及终止的原因。在终止意向通知发出之后，双方应在 20 日内或双方同意的更长时间内（以下简称“协商期”）协商避免本协议终止的措施。如果资源承接方和实施机构就将要采取的措施达成一致意见，或者资源承接方或实施机构在协商期内纠正了终止协议的事由件，终止意向通知应立即自动失效。</w:t>
      </w:r>
    </w:p>
    <w:p w14:paraId="5EBA00F8">
      <w:pPr>
        <w:pStyle w:val="4"/>
        <w:ind w:firstLine="560"/>
        <w:rPr>
          <w:rFonts w:hint="eastAsia" w:asciiTheme="minorEastAsia" w:hAnsiTheme="minorEastAsia" w:eastAsiaTheme="minorEastAsia" w:cstheme="minorEastAsia"/>
          <w:lang w:eastAsia="zh-Hans"/>
        </w:rPr>
      </w:pPr>
      <w:bookmarkStart w:id="88" w:name="_Toc223006296"/>
      <w:r>
        <w:rPr>
          <w:rFonts w:hint="eastAsia" w:asciiTheme="minorEastAsia" w:hAnsiTheme="minorEastAsia" w:eastAsiaTheme="minorEastAsia" w:cstheme="minorEastAsia"/>
          <w:lang w:eastAsia="zh-Hans"/>
        </w:rPr>
        <w:t>17.8 赔偿或补偿的审计</w:t>
      </w:r>
      <w:bookmarkEnd w:id="88"/>
    </w:p>
    <w:p w14:paraId="20C4139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资源承接方提出的有关成本或利润的赔偿或补偿，应由实施机构或政府方经过审计程序认定。</w:t>
      </w:r>
    </w:p>
    <w:p w14:paraId="1D307E78">
      <w:pPr>
        <w:pStyle w:val="4"/>
        <w:ind w:firstLine="560"/>
        <w:rPr>
          <w:rFonts w:hint="eastAsia" w:asciiTheme="minorEastAsia" w:hAnsiTheme="minorEastAsia" w:eastAsiaTheme="minorEastAsia" w:cstheme="minorEastAsia"/>
          <w:lang w:eastAsia="zh-Hans"/>
        </w:rPr>
      </w:pPr>
      <w:bookmarkStart w:id="89" w:name="_Toc223006297"/>
      <w:r>
        <w:rPr>
          <w:rFonts w:hint="eastAsia" w:asciiTheme="minorEastAsia" w:hAnsiTheme="minorEastAsia" w:eastAsiaTheme="minorEastAsia" w:cstheme="minorEastAsia"/>
          <w:lang w:eastAsia="zh-Hans"/>
        </w:rPr>
        <w:t>17.9 终止后移交</w:t>
      </w:r>
      <w:bookmarkEnd w:id="89"/>
    </w:p>
    <w:p w14:paraId="687089A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17.9.1 移交范围</w:t>
      </w:r>
    </w:p>
    <w:p w14:paraId="405E81A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本协议提前终止后，资源承接方应按协议条款第 11.1 条约定范围向实施机构完成移交。</w:t>
      </w:r>
    </w:p>
    <w:p w14:paraId="04A081F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17.9.2 移交程序</w:t>
      </w:r>
    </w:p>
    <w:p w14:paraId="1CA5BCB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17.9.2.1 本协议提前终止日起 5 个工作日内，实施机构有权委派 3 名授权代表与资源承接方 3 名授权代表成立移交工作组。移交工作组应在成立后 7 天内商定移交日期、项目设施移交的详尽程序、项目移交前最后恢复性大修的内容和具体时间、终止补偿或赔偿金额、根据协议条款第 17.9.1 条规定的移交范围的详细清单以及其他移交工作。</w:t>
      </w:r>
    </w:p>
    <w:p w14:paraId="1D457AD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17.9.2.2 协议条款第 11 条中约定的，与项目提前移交性质不违背的内容在提前移交中同样适用。</w:t>
      </w:r>
    </w:p>
    <w:p w14:paraId="0D876DF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17.9.2.3 实施机构应在办理完毕全部产权过户手续以及其它法定手续，并在双方账目结算完毕的 15 个工作日内将终止补偿或赔偿金全部支付给资源承接方。自提前移交日，资源承接方对项目设施的占有和权益全部转移给实施机构。</w:t>
      </w:r>
    </w:p>
    <w:p w14:paraId="1F91817B">
      <w:pPr>
        <w:pStyle w:val="3"/>
        <w:ind w:firstLine="560"/>
        <w:rPr>
          <w:rFonts w:hint="eastAsia" w:asciiTheme="minorEastAsia" w:hAnsiTheme="minorEastAsia" w:eastAsiaTheme="minorEastAsia" w:cstheme="minorEastAsia"/>
          <w:lang w:eastAsia="zh-Hans"/>
        </w:rPr>
      </w:pPr>
      <w:bookmarkStart w:id="90" w:name="_Toc223006298"/>
      <w:r>
        <w:rPr>
          <w:rFonts w:hint="eastAsia" w:asciiTheme="minorEastAsia" w:hAnsiTheme="minorEastAsia" w:eastAsiaTheme="minorEastAsia" w:cstheme="minorEastAsia"/>
          <w:lang w:eastAsia="zh-Hans"/>
        </w:rPr>
        <w:t>18.行政区划调整与协议变更、转让</w:t>
      </w:r>
      <w:bookmarkEnd w:id="90"/>
    </w:p>
    <w:p w14:paraId="2C2117BD">
      <w:pPr>
        <w:pStyle w:val="4"/>
        <w:ind w:firstLine="560"/>
        <w:rPr>
          <w:rFonts w:hint="eastAsia" w:asciiTheme="minorEastAsia" w:hAnsiTheme="minorEastAsia" w:eastAsiaTheme="minorEastAsia" w:cstheme="minorEastAsia"/>
          <w:lang w:eastAsia="zh-Hans"/>
        </w:rPr>
      </w:pPr>
      <w:bookmarkStart w:id="91" w:name="_Toc223006299"/>
      <w:r>
        <w:rPr>
          <w:rFonts w:hint="eastAsia" w:asciiTheme="minorEastAsia" w:hAnsiTheme="minorEastAsia" w:eastAsiaTheme="minorEastAsia" w:cstheme="minorEastAsia"/>
          <w:lang w:eastAsia="zh-Hans"/>
        </w:rPr>
        <w:t>18.1 行政区划调整</w:t>
      </w:r>
      <w:bookmarkEnd w:id="91"/>
    </w:p>
    <w:p w14:paraId="0C986F2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在本协议有效期内，如发生行政区划调整或者职能变更导致实施机构不再作为本项目的适格协议主体，则应由届时本协议合法承继者与资源承接方重新签订协议以及本项目有关的其他协议，由届时合法承继者享有并承担本协议以及本项目有关的其他协议项下的全部权利和义务。</w:t>
      </w:r>
    </w:p>
    <w:p w14:paraId="4EECD534">
      <w:pPr>
        <w:pStyle w:val="4"/>
        <w:ind w:firstLine="560"/>
        <w:rPr>
          <w:rFonts w:hint="eastAsia" w:asciiTheme="minorEastAsia" w:hAnsiTheme="minorEastAsia" w:eastAsiaTheme="minorEastAsia" w:cstheme="minorEastAsia"/>
          <w:lang w:eastAsia="zh-Hans"/>
        </w:rPr>
      </w:pPr>
      <w:bookmarkStart w:id="92" w:name="_Toc223006300"/>
      <w:r>
        <w:rPr>
          <w:rFonts w:hint="eastAsia" w:asciiTheme="minorEastAsia" w:hAnsiTheme="minorEastAsia" w:eastAsiaTheme="minorEastAsia" w:cstheme="minorEastAsia"/>
          <w:lang w:eastAsia="zh-Hans"/>
        </w:rPr>
        <w:t>18.2 协议的转让</w:t>
      </w:r>
      <w:bookmarkEnd w:id="92"/>
    </w:p>
    <w:p w14:paraId="6EBC01E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18.2.1 实施机构的协议转让</w:t>
      </w:r>
    </w:p>
    <w:p w14:paraId="3DA20F3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实施机构可将本协议或与本项目有关的其他协议项下的全部或部分权利或义务转让给本级人民政府指定的政府机构或部门，但受让协议的政府机构或部门应当具备：</w:t>
      </w:r>
    </w:p>
    <w:p w14:paraId="0D2E035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（a）具有承担实施机构在本协议及其他相关协议项下所承担的所有权利、义务和责任的能力和授权；以及（b）承继并继续履行实施机构在本协议及其他相关协议项下的义务。除 18.2.1（a）项实施机构的转让外，未经资源承接方事先书面同意，实施机构不得转让其在本协议或与本项目有关的其他协议项下全部或部分的权利或义务。</w:t>
      </w:r>
    </w:p>
    <w:p w14:paraId="394355C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18.2.2 资源承接方的协议转让</w:t>
      </w:r>
    </w:p>
    <w:p w14:paraId="673EBB7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除经实施机构事先书面同意、资源承接方因办理资产证券化业务、公开募集基础设施证券投资基金（REITs）或类不动产信托基金业务（类 REITs））外，资源承接方不得就其在本协议或与本项目有关的其他协议项下的全部或部分权利或义务进行转让。经实施机构事先书面同意、资源承接方办理资产证券化业务、公开募集基础设施证券投资基金（REITs）或类不动产信托基金业务（类 REITs）情形下，受让方应当具备：</w:t>
      </w:r>
    </w:p>
    <w:p w14:paraId="6CA9931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（a）具有承担资源承接方在本协议及其他相关协议项下所承担的所有权利、义务和责任的能力和授权；以及（b）承继并继续履行项目在本协议及其他相关协议项下的义务。</w:t>
      </w:r>
    </w:p>
    <w:p w14:paraId="407D1700">
      <w:pPr>
        <w:pStyle w:val="4"/>
        <w:ind w:firstLine="560"/>
        <w:rPr>
          <w:rFonts w:hint="eastAsia" w:asciiTheme="minorEastAsia" w:hAnsiTheme="minorEastAsia" w:eastAsiaTheme="minorEastAsia" w:cstheme="minorEastAsia"/>
          <w:lang w:eastAsia="zh-Hans"/>
        </w:rPr>
      </w:pPr>
      <w:bookmarkStart w:id="93" w:name="_Toc223006301"/>
      <w:r>
        <w:rPr>
          <w:rFonts w:hint="eastAsia" w:asciiTheme="minorEastAsia" w:hAnsiTheme="minorEastAsia" w:eastAsiaTheme="minorEastAsia" w:cstheme="minorEastAsia"/>
          <w:lang w:eastAsia="zh-Hans"/>
        </w:rPr>
        <w:t>18.3 协议内容的变更</w:t>
      </w:r>
      <w:bookmarkEnd w:id="93"/>
    </w:p>
    <w:p w14:paraId="19E82AA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18.3.1 协议内容变更的限制</w:t>
      </w:r>
    </w:p>
    <w:p w14:paraId="7AB8FF5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未经双方书面同意，任何一方不得对本协议内容进行单方修改或变更。</w:t>
      </w:r>
    </w:p>
    <w:p w14:paraId="2629838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18.3.2 协议内容变更的生效时间</w:t>
      </w:r>
    </w:p>
    <w:p w14:paraId="21A8A04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协议内容任何修改、补充或变更必须经双方协商一致并签字盖章后方具有法律约束力。如果根据届时有效的适用法律的规定而需要政府有关部门审查批准的，则自政府有关部门审查批准之日起相应变更对实施机构、资源承接方双方产生约束力。</w:t>
      </w:r>
    </w:p>
    <w:p w14:paraId="5D1A68E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18.3.3 签署补充协议</w:t>
      </w:r>
    </w:p>
    <w:p w14:paraId="5937A2A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本协议未尽事宜，由双方另行签署补充协议。</w:t>
      </w:r>
    </w:p>
    <w:p w14:paraId="46681C7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18.3.4 协议条款有不合法、无效或不能执行的处理合作期间内，如果本协议的任何条款不合法、无效或不能执行，则：</w:t>
      </w:r>
    </w:p>
    <w:p w14:paraId="2317D5D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（a）并不影响其他条款的效力和执行；</w:t>
      </w:r>
    </w:p>
    <w:p w14:paraId="6474960A">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（b）双方应商定对不合法、无效或不能执行的条款进行修改，使之合法、有效、合理并可执行。</w:t>
      </w:r>
    </w:p>
    <w:p w14:paraId="67ACE927">
      <w:pPr>
        <w:pStyle w:val="3"/>
        <w:ind w:firstLine="560"/>
        <w:rPr>
          <w:rFonts w:hint="eastAsia" w:asciiTheme="minorEastAsia" w:hAnsiTheme="minorEastAsia" w:eastAsiaTheme="minorEastAsia" w:cstheme="minorEastAsia"/>
          <w:lang w:eastAsia="zh-Hans"/>
        </w:rPr>
      </w:pPr>
      <w:bookmarkStart w:id="94" w:name="_Toc223006302"/>
      <w:r>
        <w:rPr>
          <w:rFonts w:hint="eastAsia" w:asciiTheme="minorEastAsia" w:hAnsiTheme="minorEastAsia" w:eastAsiaTheme="minorEastAsia" w:cstheme="minorEastAsia"/>
          <w:lang w:eastAsia="zh-Hans"/>
        </w:rPr>
        <w:t>19.争议处理</w:t>
      </w:r>
      <w:bookmarkEnd w:id="94"/>
    </w:p>
    <w:p w14:paraId="6F79701B">
      <w:pPr>
        <w:pStyle w:val="4"/>
        <w:ind w:firstLine="560"/>
        <w:rPr>
          <w:rFonts w:hint="eastAsia" w:asciiTheme="minorEastAsia" w:hAnsiTheme="minorEastAsia" w:eastAsiaTheme="minorEastAsia" w:cstheme="minorEastAsia"/>
          <w:lang w:eastAsia="zh-Hans"/>
        </w:rPr>
      </w:pPr>
      <w:bookmarkStart w:id="95" w:name="_Toc223006303"/>
      <w:r>
        <w:rPr>
          <w:rFonts w:hint="eastAsia" w:asciiTheme="minorEastAsia" w:hAnsiTheme="minorEastAsia" w:eastAsiaTheme="minorEastAsia" w:cstheme="minorEastAsia"/>
          <w:lang w:eastAsia="zh-Hans"/>
        </w:rPr>
        <w:t>19.1 争议处理的方式</w:t>
      </w:r>
      <w:bookmarkEnd w:id="95"/>
    </w:p>
    <w:p w14:paraId="20CEAE1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双方因履行本协议产生的争议，可以采取友好协商、调解、争议评审和诉讼方式进行处理。</w:t>
      </w:r>
    </w:p>
    <w:p w14:paraId="33F8E8E4">
      <w:pPr>
        <w:pStyle w:val="4"/>
        <w:ind w:firstLine="560"/>
        <w:rPr>
          <w:rFonts w:hint="eastAsia" w:asciiTheme="minorEastAsia" w:hAnsiTheme="minorEastAsia" w:eastAsiaTheme="minorEastAsia" w:cstheme="minorEastAsia"/>
          <w:lang w:eastAsia="zh-Hans"/>
        </w:rPr>
      </w:pPr>
      <w:bookmarkStart w:id="96" w:name="_Toc223006304"/>
      <w:r>
        <w:rPr>
          <w:rFonts w:hint="eastAsia" w:asciiTheme="minorEastAsia" w:hAnsiTheme="minorEastAsia" w:eastAsiaTheme="minorEastAsia" w:cstheme="minorEastAsia"/>
          <w:lang w:eastAsia="zh-Hans"/>
        </w:rPr>
        <w:t>19.2 友好协商</w:t>
      </w:r>
      <w:bookmarkEnd w:id="96"/>
    </w:p>
    <w:p w14:paraId="6F0B526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若双方对于由于本协议条款或与本协议有关条款的解释（包括关于其存在、有效或终止的任何问题）产生任何争议、分歧或索赔，则应尽力通过友好协商的方式解决该争议、分歧或索赔。</w:t>
      </w:r>
    </w:p>
    <w:p w14:paraId="206663D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除非双方届时另有约定，若在尝试友好协商解决后 30 日内该争议、分歧或索赔未能得到解决，则可以选择适用协议条款第 19.3 条、第 19.4 条、第 19.5 条约定。</w:t>
      </w:r>
    </w:p>
    <w:p w14:paraId="1310D7CB">
      <w:pPr>
        <w:pStyle w:val="4"/>
        <w:ind w:firstLine="560"/>
        <w:rPr>
          <w:rFonts w:hint="eastAsia" w:asciiTheme="minorEastAsia" w:hAnsiTheme="minorEastAsia" w:eastAsiaTheme="minorEastAsia" w:cstheme="minorEastAsia"/>
          <w:lang w:eastAsia="zh-Hans"/>
        </w:rPr>
      </w:pPr>
      <w:bookmarkStart w:id="97" w:name="_Toc223006305"/>
      <w:r>
        <w:rPr>
          <w:rFonts w:hint="eastAsia" w:asciiTheme="minorEastAsia" w:hAnsiTheme="minorEastAsia" w:eastAsiaTheme="minorEastAsia" w:cstheme="minorEastAsia"/>
          <w:lang w:eastAsia="zh-Hans"/>
        </w:rPr>
        <w:t>19.3 调解</w:t>
      </w:r>
      <w:bookmarkEnd w:id="97"/>
    </w:p>
    <w:p w14:paraId="0833526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协议当事人可以就争议请求行业主管部门、行业协会或其他第三方进行调解，调解达成协议的，经双方签字并盖章后作为协议补充文件，双方均应遵照执行。</w:t>
      </w:r>
    </w:p>
    <w:p w14:paraId="33EDE49C">
      <w:pPr>
        <w:pStyle w:val="4"/>
        <w:ind w:firstLine="560"/>
        <w:rPr>
          <w:rFonts w:hint="eastAsia" w:asciiTheme="minorEastAsia" w:hAnsiTheme="minorEastAsia" w:eastAsiaTheme="minorEastAsia" w:cstheme="minorEastAsia"/>
          <w:lang w:eastAsia="zh-Hans"/>
        </w:rPr>
      </w:pPr>
      <w:bookmarkStart w:id="98" w:name="_Toc223006306"/>
      <w:r>
        <w:rPr>
          <w:rFonts w:hint="eastAsia" w:asciiTheme="minorEastAsia" w:hAnsiTheme="minorEastAsia" w:eastAsiaTheme="minorEastAsia" w:cstheme="minorEastAsia"/>
          <w:lang w:eastAsia="zh-Hans"/>
        </w:rPr>
        <w:t>19.4 争议评审</w:t>
      </w:r>
      <w:bookmarkEnd w:id="98"/>
    </w:p>
    <w:p w14:paraId="4867F35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采取争议评审方式解决争议以及评审规则的，按下列约定执行：</w:t>
      </w:r>
    </w:p>
    <w:p w14:paraId="56EE1835">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19.4.1 争议评审小组的确定</w:t>
      </w:r>
    </w:p>
    <w:p w14:paraId="0723826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19.4.1.1 协议当事人可以共同选择 1 名或 3 名争议评审员，组成争议评审小组。协议当事人应当自协议签订后 28 天内，或者争议发生后 14 天内，选定争议评审员。</w:t>
      </w:r>
    </w:p>
    <w:p w14:paraId="784F228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19.4.1.2 选择 1 名争议评审员的，由协议当事人共同确定；选择 3 名争议评审员的，各自选定 1 名，第 3 名成员为首席争议评审员，由协议当事人共同确定或由协议当事人委托已选定的争议评审员共同确定。</w:t>
      </w:r>
    </w:p>
    <w:p w14:paraId="0EED79B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19.4.1.3 评审员报酬由实施机构和资源承接方各承担一半。</w:t>
      </w:r>
    </w:p>
    <w:p w14:paraId="4762B93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19.4.2 争议评审小组的决定</w:t>
      </w:r>
    </w:p>
    <w:p w14:paraId="31696AF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协议当事人可在任何时间将与协议有关的任何争议共同提请争议评审小组进行评审。争议评审小组应秉持客观、公正原则，充分听取协议当事人的意见，依据相关法律、规范、标准、案例经验及商业惯例等，自收到争议评审申请报告后 14 天内作出书面决定，并说明理由。</w:t>
      </w:r>
    </w:p>
    <w:p w14:paraId="3439981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19.4.3 争议评审小组决定的效力</w:t>
      </w:r>
    </w:p>
    <w:p w14:paraId="208B943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争议评审小组作出的书面决定经协议当事人签字确认后，对双方具有约束力，双方应遵照执行。任何一方当事人不接受争议评审小组决定或不履行争议评审小组决定的，双方可选择采用其他争议解决方式。</w:t>
      </w:r>
    </w:p>
    <w:p w14:paraId="25C14212">
      <w:pPr>
        <w:pStyle w:val="4"/>
        <w:ind w:firstLine="560"/>
        <w:rPr>
          <w:rFonts w:hint="eastAsia" w:asciiTheme="minorEastAsia" w:hAnsiTheme="minorEastAsia" w:eastAsiaTheme="minorEastAsia" w:cstheme="minorEastAsia"/>
          <w:lang w:eastAsia="zh-Hans"/>
        </w:rPr>
      </w:pPr>
      <w:bookmarkStart w:id="99" w:name="_Toc223006307"/>
      <w:r>
        <w:rPr>
          <w:rFonts w:hint="eastAsia" w:asciiTheme="minorEastAsia" w:hAnsiTheme="minorEastAsia" w:eastAsiaTheme="minorEastAsia" w:cstheme="minorEastAsia"/>
          <w:lang w:eastAsia="zh-Hans"/>
        </w:rPr>
        <w:t>19.5 诉讼</w:t>
      </w:r>
      <w:bookmarkEnd w:id="99"/>
    </w:p>
    <w:p w14:paraId="0210625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实施机构和资源承接方在履行协议中发生争议的，双方同意交由项目所在地人民法院管辖。</w:t>
      </w:r>
    </w:p>
    <w:p w14:paraId="4999671E">
      <w:pPr>
        <w:pStyle w:val="4"/>
        <w:ind w:firstLine="560"/>
        <w:rPr>
          <w:rFonts w:hint="eastAsia" w:asciiTheme="minorEastAsia" w:hAnsiTheme="minorEastAsia" w:eastAsiaTheme="minorEastAsia" w:cstheme="minorEastAsia"/>
          <w:lang w:eastAsia="zh-Hans"/>
        </w:rPr>
      </w:pPr>
      <w:bookmarkStart w:id="100" w:name="_Toc223006308"/>
      <w:r>
        <w:rPr>
          <w:rFonts w:hint="eastAsia" w:asciiTheme="minorEastAsia" w:hAnsiTheme="minorEastAsia" w:eastAsiaTheme="minorEastAsia" w:cstheme="minorEastAsia"/>
          <w:lang w:eastAsia="zh-Hans"/>
        </w:rPr>
        <w:t>19.6 争议期间协议的履行</w:t>
      </w:r>
      <w:bookmarkEnd w:id="100"/>
    </w:p>
    <w:p w14:paraId="1D15B6A1">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诉讼期间项目各方对协议无争议的部分应继续履行；除法律规定或另有约定外，任何一方不得以发生争议为由，停止项目运营服务或采取其他影响公共利益的措施。</w:t>
      </w:r>
    </w:p>
    <w:p w14:paraId="650C08F7">
      <w:pPr>
        <w:pStyle w:val="3"/>
        <w:ind w:firstLine="560"/>
        <w:rPr>
          <w:rFonts w:hint="eastAsia" w:asciiTheme="minorEastAsia" w:hAnsiTheme="minorEastAsia" w:eastAsiaTheme="minorEastAsia" w:cstheme="minorEastAsia"/>
          <w:lang w:eastAsia="zh-Hans"/>
        </w:rPr>
      </w:pPr>
      <w:bookmarkStart w:id="101" w:name="_Toc223006309"/>
      <w:r>
        <w:rPr>
          <w:rFonts w:hint="eastAsia" w:asciiTheme="minorEastAsia" w:hAnsiTheme="minorEastAsia" w:eastAsiaTheme="minorEastAsia" w:cstheme="minorEastAsia"/>
          <w:lang w:eastAsia="zh-Hans"/>
        </w:rPr>
        <w:t>20.协议附则</w:t>
      </w:r>
      <w:bookmarkEnd w:id="101"/>
    </w:p>
    <w:p w14:paraId="19C0DAB4">
      <w:pPr>
        <w:pStyle w:val="4"/>
        <w:ind w:firstLine="560"/>
        <w:rPr>
          <w:rFonts w:hint="eastAsia" w:asciiTheme="minorEastAsia" w:hAnsiTheme="minorEastAsia" w:eastAsiaTheme="minorEastAsia" w:cstheme="minorEastAsia"/>
          <w:lang w:eastAsia="zh-Hans"/>
        </w:rPr>
      </w:pPr>
      <w:bookmarkStart w:id="102" w:name="_Toc223006310"/>
      <w:r>
        <w:rPr>
          <w:rFonts w:hint="eastAsia" w:asciiTheme="minorEastAsia" w:hAnsiTheme="minorEastAsia" w:eastAsiaTheme="minorEastAsia" w:cstheme="minorEastAsia"/>
          <w:lang w:eastAsia="zh-Hans"/>
        </w:rPr>
        <w:t>20.1 适用法律法规</w:t>
      </w:r>
      <w:bookmarkEnd w:id="102"/>
    </w:p>
    <w:p w14:paraId="1692DF3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本协议适用法律为中华人民共和国法律、行政法规、部门规章，以及项目所在地的地方性法规、单行条例和地方政府规章等。</w:t>
      </w:r>
    </w:p>
    <w:p w14:paraId="1B8B1BAD">
      <w:pPr>
        <w:pStyle w:val="4"/>
        <w:ind w:firstLine="560"/>
        <w:rPr>
          <w:rFonts w:hint="eastAsia" w:asciiTheme="minorEastAsia" w:hAnsiTheme="minorEastAsia" w:eastAsiaTheme="minorEastAsia" w:cstheme="minorEastAsia"/>
          <w:lang w:eastAsia="zh-Hans"/>
        </w:rPr>
      </w:pPr>
      <w:bookmarkStart w:id="103" w:name="_Toc223006311"/>
      <w:r>
        <w:rPr>
          <w:rFonts w:hint="eastAsia" w:asciiTheme="minorEastAsia" w:hAnsiTheme="minorEastAsia" w:eastAsiaTheme="minorEastAsia" w:cstheme="minorEastAsia"/>
          <w:lang w:eastAsia="zh-Hans"/>
        </w:rPr>
        <w:t>20.2 严禁贿赂</w:t>
      </w:r>
      <w:bookmarkEnd w:id="103"/>
    </w:p>
    <w:p w14:paraId="42B180A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协议当事人应恪守廉洁从政、廉洁从业和防范腐败的责任，不得以贿赂或变相贿赂的方式，谋取非法利益或损失对方权益。因一方协议当事人的贿赂造成对方损失的，应赔偿损失，并承担相应的法律责任。</w:t>
      </w:r>
    </w:p>
    <w:p w14:paraId="2EA096F4">
      <w:pPr>
        <w:pStyle w:val="4"/>
        <w:ind w:firstLine="560"/>
        <w:rPr>
          <w:rFonts w:hint="eastAsia" w:asciiTheme="minorEastAsia" w:hAnsiTheme="minorEastAsia" w:eastAsiaTheme="minorEastAsia" w:cstheme="minorEastAsia"/>
          <w:lang w:eastAsia="zh-Hans"/>
        </w:rPr>
      </w:pPr>
      <w:bookmarkStart w:id="104" w:name="_Toc223006312"/>
      <w:r>
        <w:rPr>
          <w:rFonts w:hint="eastAsia" w:asciiTheme="minorEastAsia" w:hAnsiTheme="minorEastAsia" w:eastAsiaTheme="minorEastAsia" w:cstheme="minorEastAsia"/>
          <w:lang w:eastAsia="zh-Hans"/>
        </w:rPr>
        <w:t>20.3 协议语言</w:t>
      </w:r>
      <w:bookmarkEnd w:id="104"/>
    </w:p>
    <w:p w14:paraId="61CBC8C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本协议以中文订立。</w:t>
      </w:r>
    </w:p>
    <w:p w14:paraId="61E29F0F">
      <w:pPr>
        <w:pStyle w:val="4"/>
        <w:ind w:firstLine="560"/>
        <w:rPr>
          <w:rFonts w:hint="eastAsia" w:asciiTheme="minorEastAsia" w:hAnsiTheme="minorEastAsia" w:eastAsiaTheme="minorEastAsia" w:cstheme="minorEastAsia"/>
          <w:lang w:eastAsia="zh-Hans"/>
        </w:rPr>
      </w:pPr>
      <w:bookmarkStart w:id="105" w:name="_Toc223006313"/>
      <w:r>
        <w:rPr>
          <w:rFonts w:hint="eastAsia" w:asciiTheme="minorEastAsia" w:hAnsiTheme="minorEastAsia" w:eastAsiaTheme="minorEastAsia" w:cstheme="minorEastAsia"/>
          <w:lang w:eastAsia="zh-Hans"/>
        </w:rPr>
        <w:t>20.4 保密事项</w:t>
      </w:r>
      <w:bookmarkEnd w:id="105"/>
    </w:p>
    <w:p w14:paraId="4DFCECB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协议双方应对本协议的内容和项目的所有信息及文件保密。未经对方同意，不得向任何人或单位披露或者泄露本协议和本项目所包含或涉及的任何内容，但以下情形除外：</w:t>
      </w:r>
    </w:p>
    <w:p w14:paraId="7B11583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（a）对各方负有保密义务的职员、法律顾问的披露；</w:t>
      </w:r>
    </w:p>
    <w:p w14:paraId="6372BB0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（b）根据法律规定有权了解本协议内容的司法、行政机关的披露；</w:t>
      </w:r>
    </w:p>
    <w:p w14:paraId="437DF574">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（c）为满足本协议的生效条件而向有关部门或人员所做的披露；</w:t>
      </w:r>
    </w:p>
    <w:p w14:paraId="523E2AE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（d）为了本项目的筹资而向有关金融机构所做的披露。</w:t>
      </w:r>
    </w:p>
    <w:p w14:paraId="36017A06">
      <w:pPr>
        <w:pStyle w:val="4"/>
        <w:ind w:firstLine="560"/>
        <w:rPr>
          <w:rFonts w:hint="eastAsia" w:asciiTheme="minorEastAsia" w:hAnsiTheme="minorEastAsia" w:eastAsiaTheme="minorEastAsia" w:cstheme="minorEastAsia"/>
          <w:lang w:eastAsia="zh-Hans"/>
        </w:rPr>
      </w:pPr>
      <w:bookmarkStart w:id="106" w:name="_Toc223006314"/>
      <w:r>
        <w:rPr>
          <w:rFonts w:hint="eastAsia" w:asciiTheme="minorEastAsia" w:hAnsiTheme="minorEastAsia" w:eastAsiaTheme="minorEastAsia" w:cstheme="minorEastAsia"/>
          <w:lang w:eastAsia="zh-Hans"/>
        </w:rPr>
        <w:t>20.5 通知</w:t>
      </w:r>
      <w:bookmarkEnd w:id="106"/>
    </w:p>
    <w:p w14:paraId="71B30D4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20.5.1 实施机构代表联络信息</w:t>
      </w:r>
    </w:p>
    <w:p w14:paraId="7D1203A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姓名：</w:t>
      </w:r>
    </w:p>
    <w:p w14:paraId="372254C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地址：</w:t>
      </w:r>
    </w:p>
    <w:p w14:paraId="3B1AA0D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邮箱：</w:t>
      </w:r>
    </w:p>
    <w:p w14:paraId="079A514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20.5.2 资源承接方代表联络信息</w:t>
      </w:r>
    </w:p>
    <w:p w14:paraId="462D929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姓名：</w:t>
      </w:r>
    </w:p>
    <w:p w14:paraId="5D5EB89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地址：</w:t>
      </w:r>
    </w:p>
    <w:p w14:paraId="15DBBEF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邮箱：</w:t>
      </w:r>
    </w:p>
    <w:p w14:paraId="2A38C75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20.5.3 通知方式</w:t>
      </w:r>
    </w:p>
    <w:p w14:paraId="5F45343E">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本协议项下的通知应以中文书写，并通过特快专递、邮寄或电子邮件等方式按上述地址送至或发至各方。</w:t>
      </w:r>
    </w:p>
    <w:p w14:paraId="7CF2193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20.5.4 下列情况应视为已送达</w:t>
      </w:r>
    </w:p>
    <w:p w14:paraId="6EBE6C5B">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（a）若采用专人提交或邮寄方式（挂号、要求回执），在寄送至协议条款 21.5 条约定的地址时；</w:t>
      </w:r>
    </w:p>
    <w:p w14:paraId="1A4FD85F">
      <w:pPr>
        <w:ind w:firstLine="56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Hans"/>
        </w:rPr>
        <w:t>（b）如采用电子邮件形式，在向协议条款 21.5 条约定的电子邮箱发出邮件即为送达；</w:t>
      </w:r>
    </w:p>
    <w:p w14:paraId="042C6AF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20.5.5 地址变更</w:t>
      </w:r>
    </w:p>
    <w:p w14:paraId="37112169">
      <w:pPr>
        <w:ind w:firstLine="56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Hans"/>
        </w:rPr>
        <w:t>如果一方的地址或收件人或电子邮箱更改时，应在新地址或新收件人或新电子邮箱启用【5】日前以上述通知方式通知另一方，否则应仍以原地址、原收件人和原电子邮箱为准。</w:t>
      </w:r>
    </w:p>
    <w:p w14:paraId="273B8726">
      <w:pPr>
        <w:pStyle w:val="4"/>
        <w:ind w:firstLine="560"/>
        <w:rPr>
          <w:rFonts w:hint="eastAsia" w:asciiTheme="minorEastAsia" w:hAnsiTheme="minorEastAsia" w:eastAsiaTheme="minorEastAsia" w:cstheme="minorEastAsia"/>
          <w:lang w:eastAsia="zh-Hans"/>
        </w:rPr>
      </w:pPr>
      <w:bookmarkStart w:id="107" w:name="_Toc223006315"/>
      <w:r>
        <w:rPr>
          <w:rFonts w:hint="eastAsia" w:asciiTheme="minorEastAsia" w:hAnsiTheme="minorEastAsia" w:eastAsiaTheme="minorEastAsia" w:cstheme="minorEastAsia"/>
          <w:lang w:eastAsia="zh-Hans"/>
        </w:rPr>
        <w:t>20.6 协议副本</w:t>
      </w:r>
      <w:bookmarkEnd w:id="107"/>
    </w:p>
    <w:p w14:paraId="31BC73A7">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本协议一式【陆】份，双方各执【叁】份，每份协议具备同等法律效力。本协议自双方签字盖章之日起正式生效。</w:t>
      </w:r>
    </w:p>
    <w:p w14:paraId="25ADA603">
      <w:pPr>
        <w:pStyle w:val="4"/>
        <w:ind w:firstLine="560"/>
        <w:rPr>
          <w:rFonts w:hint="eastAsia" w:asciiTheme="minorEastAsia" w:hAnsiTheme="minorEastAsia" w:eastAsiaTheme="minorEastAsia" w:cstheme="minorEastAsia"/>
          <w:lang w:eastAsia="zh-Hans"/>
        </w:rPr>
      </w:pPr>
      <w:bookmarkStart w:id="108" w:name="_Toc223006316"/>
      <w:r>
        <w:rPr>
          <w:rFonts w:hint="eastAsia" w:asciiTheme="minorEastAsia" w:hAnsiTheme="minorEastAsia" w:eastAsiaTheme="minorEastAsia" w:cstheme="minorEastAsia"/>
          <w:lang w:eastAsia="zh-Hans"/>
        </w:rPr>
        <w:t>20.7 协议附件</w:t>
      </w:r>
      <w:bookmarkEnd w:id="108"/>
    </w:p>
    <w:p w14:paraId="11C67A7D">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附件 1：《西安航天基地停车场地经营权转让项目资产评估报告》</w:t>
      </w:r>
    </w:p>
    <w:p w14:paraId="0655C622">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附件 2：《西安航天基地停车场地经营权转让项目实施方案》</w:t>
      </w:r>
    </w:p>
    <w:p w14:paraId="239ECD16">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附件 3：《西安国家民用航天产业基地管理委员会关于西安航天基地停车场地经营权转让项目实施方案的批复》</w:t>
      </w:r>
    </w:p>
    <w:p w14:paraId="7A82463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 xml:space="preserve">附件 </w:t>
      </w:r>
      <w:r>
        <w:rPr>
          <w:rFonts w:hint="eastAsia" w:asciiTheme="minorEastAsia" w:hAnsiTheme="minorEastAsia" w:eastAsiaTheme="minorEastAsia" w:cstheme="minorEastAsia"/>
        </w:rPr>
        <w:t>4</w:t>
      </w:r>
      <w:r>
        <w:rPr>
          <w:rFonts w:hint="eastAsia" w:asciiTheme="minorEastAsia" w:hAnsiTheme="minorEastAsia" w:eastAsiaTheme="minorEastAsia" w:cstheme="minorEastAsia"/>
          <w:lang w:eastAsia="zh-Hans"/>
        </w:rPr>
        <w:t>：项目标号</w:t>
      </w: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Hans"/>
        </w:rPr>
        <w:t>号《</w:t>
      </w:r>
      <w:r>
        <w:rPr>
          <w:rFonts w:hint="eastAsia" w:asciiTheme="minorEastAsia" w:hAnsiTheme="minorEastAsia" w:eastAsiaTheme="minorEastAsia" w:cstheme="minorEastAsia"/>
        </w:rPr>
        <w:t>成交</w:t>
      </w:r>
      <w:r>
        <w:rPr>
          <w:rFonts w:hint="eastAsia" w:asciiTheme="minorEastAsia" w:hAnsiTheme="minorEastAsia" w:eastAsiaTheme="minorEastAsia" w:cstheme="minorEastAsia"/>
          <w:lang w:eastAsia="zh-Hans"/>
        </w:rPr>
        <w:t>通知书》</w:t>
      </w:r>
    </w:p>
    <w:p w14:paraId="72CD00D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 xml:space="preserve">附件 </w:t>
      </w:r>
      <w:r>
        <w:rPr>
          <w:rFonts w:hint="eastAsia" w:asciiTheme="minorEastAsia" w:hAnsiTheme="minorEastAsia" w:eastAsiaTheme="minorEastAsia" w:cstheme="minorEastAsia"/>
        </w:rPr>
        <w:t>5</w:t>
      </w:r>
      <w:r>
        <w:rPr>
          <w:rFonts w:hint="eastAsia" w:asciiTheme="minorEastAsia" w:hAnsiTheme="minorEastAsia" w:eastAsiaTheme="minorEastAsia" w:cstheme="minorEastAsia"/>
          <w:lang w:eastAsia="zh-Hans"/>
        </w:rPr>
        <w:t>：建设期绩效考核指标体系</w:t>
      </w:r>
    </w:p>
    <w:p w14:paraId="3DA686AF">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 xml:space="preserve">附件 </w:t>
      </w: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eastAsia="zh-Hans"/>
        </w:rPr>
        <w:t>：运营期绩效考核指标体系</w:t>
      </w:r>
    </w:p>
    <w:p w14:paraId="3889B92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 xml:space="preserve">附件 </w:t>
      </w:r>
      <w:r>
        <w:rPr>
          <w:rFonts w:hint="eastAsia" w:asciiTheme="minorEastAsia" w:hAnsiTheme="minorEastAsia" w:eastAsiaTheme="minorEastAsia" w:cstheme="minorEastAsia"/>
        </w:rPr>
        <w:t>7</w:t>
      </w:r>
      <w:r>
        <w:rPr>
          <w:rFonts w:hint="eastAsia" w:asciiTheme="minorEastAsia" w:hAnsiTheme="minorEastAsia" w:eastAsiaTheme="minorEastAsia" w:cstheme="minorEastAsia"/>
          <w:lang w:eastAsia="zh-Hans"/>
        </w:rPr>
        <w:t>：协议终止赔偿与终止补偿金额的计算</w:t>
      </w:r>
    </w:p>
    <w:p w14:paraId="16919F69">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 xml:space="preserve">附件 </w:t>
      </w:r>
      <w:r>
        <w:rPr>
          <w:rFonts w:hint="eastAsia" w:asciiTheme="minorEastAsia" w:hAnsiTheme="minorEastAsia" w:eastAsiaTheme="minorEastAsia" w:cstheme="minorEastAsia"/>
        </w:rPr>
        <w:t>8</w:t>
      </w:r>
      <w:r>
        <w:rPr>
          <w:rFonts w:hint="eastAsia" w:asciiTheme="minorEastAsia" w:hAnsiTheme="minorEastAsia" w:eastAsiaTheme="minorEastAsia" w:cstheme="minorEastAsia"/>
          <w:lang w:eastAsia="zh-Hans"/>
        </w:rPr>
        <w:t>：风险分配基本框架表</w:t>
      </w:r>
    </w:p>
    <w:p w14:paraId="6B9D2B20">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附件</w:t>
      </w:r>
      <w:r>
        <w:rPr>
          <w:rFonts w:hint="eastAsia" w:asciiTheme="minorEastAsia" w:hAnsiTheme="minorEastAsia" w:eastAsiaTheme="minorEastAsia" w:cstheme="minorEastAsia"/>
        </w:rPr>
        <w:t>9</w:t>
      </w:r>
      <w:r>
        <w:rPr>
          <w:rFonts w:hint="eastAsia" w:asciiTheme="minorEastAsia" w:hAnsiTheme="minorEastAsia" w:eastAsiaTheme="minorEastAsia" w:cstheme="minorEastAsia"/>
          <w:lang w:eastAsia="zh-Hans"/>
        </w:rPr>
        <w:t>：停车位明细表</w:t>
      </w:r>
    </w:p>
    <w:p w14:paraId="078C5C5F">
      <w:pPr>
        <w:widowControl/>
        <w:spacing w:line="240" w:lineRule="auto"/>
        <w:ind w:firstLine="0" w:firstLineChars="0"/>
        <w:jc w:val="left"/>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br w:type="page"/>
      </w:r>
    </w:p>
    <w:p w14:paraId="2EC051CC">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t>（以下无正文）</w:t>
      </w:r>
    </w:p>
    <w:p w14:paraId="230EDC2C">
      <w:pPr>
        <w:pStyle w:val="2"/>
        <w:ind w:firstLine="360"/>
        <w:rPr>
          <w:rFonts w:hint="eastAsia" w:asciiTheme="minorEastAsia" w:hAnsiTheme="minorEastAsia" w:eastAsiaTheme="minorEastAsia" w:cstheme="minorEastAsia"/>
          <w:lang w:eastAsia="zh-Hans"/>
        </w:rPr>
      </w:pPr>
    </w:p>
    <w:p w14:paraId="043BD4C3">
      <w:pPr>
        <w:spacing w:line="500" w:lineRule="exact"/>
        <w:ind w:firstLine="560"/>
        <w:rPr>
          <w:rFonts w:hint="eastAsia" w:asciiTheme="minorEastAsia" w:hAnsiTheme="minorEastAsia" w:eastAsiaTheme="minorEastAsia" w:cstheme="minorEastAsia"/>
          <w:szCs w:val="28"/>
        </w:rPr>
      </w:pPr>
    </w:p>
    <w:tbl>
      <w:tblPr>
        <w:tblStyle w:val="9"/>
        <w:tblW w:w="0" w:type="auto"/>
        <w:jc w:val="center"/>
        <w:tblLayout w:type="fixed"/>
        <w:tblCellMar>
          <w:top w:w="0" w:type="dxa"/>
          <w:left w:w="108" w:type="dxa"/>
          <w:bottom w:w="0" w:type="dxa"/>
          <w:right w:w="108" w:type="dxa"/>
        </w:tblCellMar>
      </w:tblPr>
      <w:tblGrid>
        <w:gridCol w:w="4201"/>
        <w:gridCol w:w="4202"/>
      </w:tblGrid>
      <w:tr w14:paraId="6B280326">
        <w:trPr>
          <w:trHeight w:val="1247" w:hRule="exact"/>
          <w:jc w:val="center"/>
        </w:trPr>
        <w:tc>
          <w:tcPr>
            <w:tcW w:w="4201" w:type="dxa"/>
          </w:tcPr>
          <w:p w14:paraId="3E168D42">
            <w:pPr>
              <w:autoSpaceDE w:val="0"/>
              <w:autoSpaceDN w:val="0"/>
              <w:adjustRightInd w:val="0"/>
              <w:ind w:left="1520" w:leftChars="200" w:hanging="960" w:hangingChars="40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甲  方：西安国家民用航天产业基地管理委员会</w:t>
            </w:r>
          </w:p>
        </w:tc>
        <w:tc>
          <w:tcPr>
            <w:tcW w:w="4202" w:type="dxa"/>
          </w:tcPr>
          <w:p w14:paraId="0235F5EC">
            <w:pPr>
              <w:autoSpaceDE w:val="0"/>
              <w:autoSpaceDN w:val="0"/>
              <w:adjustRightInd w:val="0"/>
              <w:ind w:left="1520" w:leftChars="200" w:hanging="960" w:hangingChars="40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乙  方：【】</w:t>
            </w:r>
          </w:p>
        </w:tc>
      </w:tr>
      <w:tr w14:paraId="33394646">
        <w:tblPrEx>
          <w:tblCellMar>
            <w:top w:w="0" w:type="dxa"/>
            <w:left w:w="108" w:type="dxa"/>
            <w:bottom w:w="0" w:type="dxa"/>
            <w:right w:w="108" w:type="dxa"/>
          </w:tblCellMar>
        </w:tblPrEx>
        <w:trPr>
          <w:trHeight w:val="680" w:hRule="exact"/>
          <w:jc w:val="center"/>
        </w:trPr>
        <w:tc>
          <w:tcPr>
            <w:tcW w:w="4201" w:type="dxa"/>
            <w:vAlign w:val="center"/>
          </w:tcPr>
          <w:p w14:paraId="790DAD48">
            <w:pPr>
              <w:autoSpaceDE w:val="0"/>
              <w:autoSpaceDN w:val="0"/>
              <w:adjustRightInd w:val="0"/>
              <w:ind w:firstLine="840" w:firstLineChars="350"/>
              <w:jc w:val="left"/>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（盖章）</w:t>
            </w:r>
          </w:p>
        </w:tc>
        <w:tc>
          <w:tcPr>
            <w:tcW w:w="4202" w:type="dxa"/>
            <w:vAlign w:val="center"/>
          </w:tcPr>
          <w:p w14:paraId="1CBDAA41">
            <w:pPr>
              <w:autoSpaceDE w:val="0"/>
              <w:autoSpaceDN w:val="0"/>
              <w:adjustRightInd w:val="0"/>
              <w:ind w:firstLine="960" w:firstLineChars="40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（盖章）</w:t>
            </w:r>
          </w:p>
        </w:tc>
      </w:tr>
      <w:tr w14:paraId="027A66F6">
        <w:tblPrEx>
          <w:tblCellMar>
            <w:top w:w="0" w:type="dxa"/>
            <w:left w:w="108" w:type="dxa"/>
            <w:bottom w:w="0" w:type="dxa"/>
            <w:right w:w="108" w:type="dxa"/>
          </w:tblCellMar>
        </w:tblPrEx>
        <w:trPr>
          <w:trHeight w:val="680" w:hRule="exact"/>
          <w:jc w:val="center"/>
        </w:trPr>
        <w:tc>
          <w:tcPr>
            <w:tcW w:w="4201" w:type="dxa"/>
            <w:vAlign w:val="center"/>
          </w:tcPr>
          <w:p w14:paraId="3749A9EC">
            <w:pPr>
              <w:autoSpaceDE w:val="0"/>
              <w:autoSpaceDN w:val="0"/>
              <w:adjustRightInd w:val="0"/>
              <w:ind w:firstLine="48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地址：</w:t>
            </w:r>
          </w:p>
        </w:tc>
        <w:tc>
          <w:tcPr>
            <w:tcW w:w="4202" w:type="dxa"/>
            <w:vAlign w:val="center"/>
          </w:tcPr>
          <w:p w14:paraId="200888F2">
            <w:pPr>
              <w:autoSpaceDE w:val="0"/>
              <w:autoSpaceDN w:val="0"/>
              <w:adjustRightInd w:val="0"/>
              <w:ind w:firstLine="48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地址：</w:t>
            </w:r>
          </w:p>
        </w:tc>
      </w:tr>
      <w:tr w14:paraId="199EF40A">
        <w:tblPrEx>
          <w:tblCellMar>
            <w:top w:w="0" w:type="dxa"/>
            <w:left w:w="108" w:type="dxa"/>
            <w:bottom w:w="0" w:type="dxa"/>
            <w:right w:w="108" w:type="dxa"/>
          </w:tblCellMar>
        </w:tblPrEx>
        <w:trPr>
          <w:trHeight w:val="680" w:hRule="exact"/>
          <w:jc w:val="center"/>
        </w:trPr>
        <w:tc>
          <w:tcPr>
            <w:tcW w:w="4201" w:type="dxa"/>
            <w:vAlign w:val="center"/>
          </w:tcPr>
          <w:p w14:paraId="2CCCA3F1">
            <w:pPr>
              <w:autoSpaceDE w:val="0"/>
              <w:autoSpaceDN w:val="0"/>
              <w:adjustRightInd w:val="0"/>
              <w:ind w:firstLine="48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邮编：</w:t>
            </w:r>
          </w:p>
        </w:tc>
        <w:tc>
          <w:tcPr>
            <w:tcW w:w="4202" w:type="dxa"/>
            <w:vAlign w:val="center"/>
          </w:tcPr>
          <w:p w14:paraId="41BA0D59">
            <w:pPr>
              <w:autoSpaceDE w:val="0"/>
              <w:autoSpaceDN w:val="0"/>
              <w:adjustRightInd w:val="0"/>
              <w:ind w:firstLine="48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邮编：</w:t>
            </w:r>
          </w:p>
        </w:tc>
      </w:tr>
      <w:tr w14:paraId="19EF96DE">
        <w:tblPrEx>
          <w:tblCellMar>
            <w:top w:w="0" w:type="dxa"/>
            <w:left w:w="108" w:type="dxa"/>
            <w:bottom w:w="0" w:type="dxa"/>
            <w:right w:w="108" w:type="dxa"/>
          </w:tblCellMar>
        </w:tblPrEx>
        <w:trPr>
          <w:trHeight w:val="680" w:hRule="exact"/>
          <w:jc w:val="center"/>
        </w:trPr>
        <w:tc>
          <w:tcPr>
            <w:tcW w:w="4201" w:type="dxa"/>
            <w:vAlign w:val="center"/>
          </w:tcPr>
          <w:p w14:paraId="0204DBE8">
            <w:pPr>
              <w:autoSpaceDE w:val="0"/>
              <w:autoSpaceDN w:val="0"/>
              <w:adjustRightInd w:val="0"/>
              <w:ind w:firstLine="48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 xml:space="preserve">法定代表人： </w:t>
            </w:r>
          </w:p>
        </w:tc>
        <w:tc>
          <w:tcPr>
            <w:tcW w:w="4202" w:type="dxa"/>
            <w:vAlign w:val="center"/>
          </w:tcPr>
          <w:p w14:paraId="0F751692">
            <w:pPr>
              <w:autoSpaceDE w:val="0"/>
              <w:autoSpaceDN w:val="0"/>
              <w:adjustRightInd w:val="0"/>
              <w:ind w:firstLine="48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法定代表人：</w:t>
            </w:r>
          </w:p>
        </w:tc>
      </w:tr>
      <w:tr w14:paraId="72D9605F">
        <w:tblPrEx>
          <w:tblCellMar>
            <w:top w:w="0" w:type="dxa"/>
            <w:left w:w="108" w:type="dxa"/>
            <w:bottom w:w="0" w:type="dxa"/>
            <w:right w:w="108" w:type="dxa"/>
          </w:tblCellMar>
        </w:tblPrEx>
        <w:trPr>
          <w:trHeight w:val="680" w:hRule="exact"/>
          <w:jc w:val="center"/>
        </w:trPr>
        <w:tc>
          <w:tcPr>
            <w:tcW w:w="4201" w:type="dxa"/>
            <w:vAlign w:val="center"/>
          </w:tcPr>
          <w:p w14:paraId="177B7321">
            <w:pPr>
              <w:autoSpaceDE w:val="0"/>
              <w:autoSpaceDN w:val="0"/>
              <w:adjustRightInd w:val="0"/>
              <w:ind w:firstLine="48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被授权代表：</w:t>
            </w:r>
          </w:p>
        </w:tc>
        <w:tc>
          <w:tcPr>
            <w:tcW w:w="4202" w:type="dxa"/>
            <w:vAlign w:val="center"/>
          </w:tcPr>
          <w:p w14:paraId="75FC8078">
            <w:pPr>
              <w:autoSpaceDE w:val="0"/>
              <w:autoSpaceDN w:val="0"/>
              <w:adjustRightInd w:val="0"/>
              <w:ind w:firstLine="48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被授权代表：</w:t>
            </w:r>
          </w:p>
        </w:tc>
      </w:tr>
      <w:tr w14:paraId="4D76A622">
        <w:tblPrEx>
          <w:tblCellMar>
            <w:top w:w="0" w:type="dxa"/>
            <w:left w:w="108" w:type="dxa"/>
            <w:bottom w:w="0" w:type="dxa"/>
            <w:right w:w="108" w:type="dxa"/>
          </w:tblCellMar>
        </w:tblPrEx>
        <w:trPr>
          <w:trHeight w:val="680" w:hRule="exact"/>
          <w:jc w:val="center"/>
        </w:trPr>
        <w:tc>
          <w:tcPr>
            <w:tcW w:w="4201" w:type="dxa"/>
            <w:vAlign w:val="center"/>
          </w:tcPr>
          <w:p w14:paraId="18530231">
            <w:pPr>
              <w:autoSpaceDE w:val="0"/>
              <w:autoSpaceDN w:val="0"/>
              <w:adjustRightInd w:val="0"/>
              <w:ind w:firstLine="48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电话：</w:t>
            </w:r>
          </w:p>
        </w:tc>
        <w:tc>
          <w:tcPr>
            <w:tcW w:w="4202" w:type="dxa"/>
            <w:vAlign w:val="center"/>
          </w:tcPr>
          <w:p w14:paraId="4387D802">
            <w:pPr>
              <w:autoSpaceDE w:val="0"/>
              <w:autoSpaceDN w:val="0"/>
              <w:adjustRightInd w:val="0"/>
              <w:ind w:left="780" w:leftChars="150" w:hanging="360" w:hangingChars="15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电话：</w:t>
            </w:r>
          </w:p>
        </w:tc>
      </w:tr>
      <w:tr w14:paraId="4FFE40E9">
        <w:tblPrEx>
          <w:tblCellMar>
            <w:top w:w="0" w:type="dxa"/>
            <w:left w:w="108" w:type="dxa"/>
            <w:bottom w:w="0" w:type="dxa"/>
            <w:right w:w="108" w:type="dxa"/>
          </w:tblCellMar>
        </w:tblPrEx>
        <w:trPr>
          <w:trHeight w:val="680" w:hRule="exact"/>
          <w:jc w:val="center"/>
        </w:trPr>
        <w:tc>
          <w:tcPr>
            <w:tcW w:w="4201" w:type="dxa"/>
            <w:vAlign w:val="center"/>
          </w:tcPr>
          <w:p w14:paraId="5BD04549">
            <w:pPr>
              <w:autoSpaceDE w:val="0"/>
              <w:autoSpaceDN w:val="0"/>
              <w:adjustRightInd w:val="0"/>
              <w:ind w:firstLine="48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传真：</w:t>
            </w:r>
          </w:p>
        </w:tc>
        <w:tc>
          <w:tcPr>
            <w:tcW w:w="4202" w:type="dxa"/>
            <w:vAlign w:val="center"/>
          </w:tcPr>
          <w:p w14:paraId="5FFEE0AD">
            <w:pPr>
              <w:autoSpaceDE w:val="0"/>
              <w:autoSpaceDN w:val="0"/>
              <w:adjustRightInd w:val="0"/>
              <w:ind w:firstLine="48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传真：</w:t>
            </w:r>
          </w:p>
        </w:tc>
      </w:tr>
      <w:tr w14:paraId="19C32402">
        <w:tblPrEx>
          <w:tblCellMar>
            <w:top w:w="0" w:type="dxa"/>
            <w:left w:w="108" w:type="dxa"/>
            <w:bottom w:w="0" w:type="dxa"/>
            <w:right w:w="108" w:type="dxa"/>
          </w:tblCellMar>
        </w:tblPrEx>
        <w:trPr>
          <w:trHeight w:val="680" w:hRule="exact"/>
          <w:jc w:val="center"/>
        </w:trPr>
        <w:tc>
          <w:tcPr>
            <w:tcW w:w="4201" w:type="dxa"/>
            <w:vAlign w:val="center"/>
          </w:tcPr>
          <w:p w14:paraId="680D1258">
            <w:pPr>
              <w:autoSpaceDE w:val="0"/>
              <w:autoSpaceDN w:val="0"/>
              <w:adjustRightInd w:val="0"/>
              <w:ind w:firstLine="48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开户银行：</w:t>
            </w:r>
          </w:p>
        </w:tc>
        <w:tc>
          <w:tcPr>
            <w:tcW w:w="4202" w:type="dxa"/>
            <w:vAlign w:val="center"/>
          </w:tcPr>
          <w:p w14:paraId="5885A2CB">
            <w:pPr>
              <w:autoSpaceDE w:val="0"/>
              <w:autoSpaceDN w:val="0"/>
              <w:adjustRightInd w:val="0"/>
              <w:ind w:firstLine="48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开户银行：</w:t>
            </w:r>
          </w:p>
        </w:tc>
      </w:tr>
      <w:tr w14:paraId="1AE2857F">
        <w:tblPrEx>
          <w:tblCellMar>
            <w:top w:w="0" w:type="dxa"/>
            <w:left w:w="108" w:type="dxa"/>
            <w:bottom w:w="0" w:type="dxa"/>
            <w:right w:w="108" w:type="dxa"/>
          </w:tblCellMar>
        </w:tblPrEx>
        <w:trPr>
          <w:trHeight w:val="680" w:hRule="exact"/>
          <w:jc w:val="center"/>
        </w:trPr>
        <w:tc>
          <w:tcPr>
            <w:tcW w:w="4201" w:type="dxa"/>
            <w:vAlign w:val="center"/>
          </w:tcPr>
          <w:p w14:paraId="6E492788">
            <w:pPr>
              <w:autoSpaceDE w:val="0"/>
              <w:autoSpaceDN w:val="0"/>
              <w:adjustRightInd w:val="0"/>
              <w:ind w:firstLine="48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日期：</w:t>
            </w:r>
          </w:p>
        </w:tc>
        <w:tc>
          <w:tcPr>
            <w:tcW w:w="4202" w:type="dxa"/>
            <w:vAlign w:val="center"/>
          </w:tcPr>
          <w:p w14:paraId="077E7F33">
            <w:pPr>
              <w:autoSpaceDE w:val="0"/>
              <w:autoSpaceDN w:val="0"/>
              <w:adjustRightInd w:val="0"/>
              <w:ind w:firstLine="480"/>
              <w:rPr>
                <w:rFonts w:hint="eastAsia" w:asciiTheme="minorEastAsia" w:hAnsiTheme="minorEastAsia" w:eastAsiaTheme="minorEastAsia" w:cstheme="minorEastAsia"/>
                <w:spacing w:val="-20"/>
                <w:szCs w:val="28"/>
              </w:rPr>
            </w:pPr>
            <w:r>
              <w:rPr>
                <w:rFonts w:hint="eastAsia" w:asciiTheme="minorEastAsia" w:hAnsiTheme="minorEastAsia" w:eastAsiaTheme="minorEastAsia" w:cstheme="minorEastAsia"/>
                <w:spacing w:val="-20"/>
                <w:szCs w:val="28"/>
              </w:rPr>
              <w:t>日期：</w:t>
            </w:r>
          </w:p>
        </w:tc>
      </w:tr>
    </w:tbl>
    <w:p w14:paraId="12E489B7">
      <w:pPr>
        <w:widowControl/>
        <w:spacing w:line="240" w:lineRule="auto"/>
        <w:ind w:firstLine="0" w:firstLineChars="0"/>
        <w:jc w:val="left"/>
        <w:rPr>
          <w:rFonts w:hint="eastAsia" w:asciiTheme="minorEastAsia" w:hAnsiTheme="minorEastAsia" w:eastAsiaTheme="minorEastAsia" w:cstheme="minorEastAsia"/>
          <w:sz w:val="18"/>
          <w:szCs w:val="18"/>
          <w:lang w:eastAsia="zh-Hans"/>
        </w:rPr>
      </w:pPr>
      <w:bookmarkStart w:id="109" w:name="_Toc378890470"/>
      <w:r>
        <w:rPr>
          <w:rFonts w:hint="eastAsia" w:asciiTheme="minorEastAsia" w:hAnsiTheme="minorEastAsia" w:eastAsiaTheme="minorEastAsia" w:cstheme="minorEastAsia"/>
          <w:lang w:eastAsia="zh-Hans"/>
        </w:rPr>
        <w:br w:type="page"/>
      </w:r>
    </w:p>
    <w:p w14:paraId="6483DD03">
      <w:pPr>
        <w:ind w:firstLine="0" w:firstLineChars="0"/>
        <w:outlineLvl w:val="0"/>
        <w:rPr>
          <w:rFonts w:hint="eastAsia" w:asciiTheme="minorEastAsia" w:hAnsiTheme="minorEastAsia" w:eastAsiaTheme="minorEastAsia" w:cstheme="minorEastAsia"/>
          <w:lang w:eastAsia="zh-Hans"/>
        </w:rPr>
      </w:pPr>
      <w:bookmarkStart w:id="110" w:name="_Toc223006317"/>
      <w:r>
        <w:rPr>
          <w:rFonts w:hint="eastAsia" w:asciiTheme="minorEastAsia" w:hAnsiTheme="minorEastAsia" w:eastAsiaTheme="minorEastAsia" w:cstheme="minorEastAsia"/>
          <w:lang w:eastAsia="zh-Hans"/>
        </w:rPr>
        <w:t xml:space="preserve">附件 </w:t>
      </w:r>
      <w:r>
        <w:rPr>
          <w:rFonts w:hint="eastAsia" w:asciiTheme="minorEastAsia" w:hAnsiTheme="minorEastAsia" w:eastAsiaTheme="minorEastAsia" w:cstheme="minorEastAsia"/>
        </w:rPr>
        <w:t>5</w:t>
      </w:r>
      <w:r>
        <w:rPr>
          <w:rFonts w:hint="eastAsia" w:asciiTheme="minorEastAsia" w:hAnsiTheme="minorEastAsia" w:eastAsiaTheme="minorEastAsia" w:cstheme="minorEastAsia"/>
          <w:lang w:eastAsia="zh-Hans"/>
        </w:rPr>
        <w:t>：建设期绩效考核指标体系</w:t>
      </w:r>
      <w:bookmarkEnd w:id="109"/>
      <w:r>
        <w:rPr>
          <w:rFonts w:hint="eastAsia" w:asciiTheme="minorEastAsia" w:hAnsiTheme="minorEastAsia" w:eastAsiaTheme="minorEastAsia" w:cstheme="minorEastAsia"/>
          <w:lang w:eastAsia="zh-Hans"/>
        </w:rPr>
        <w:t>（如涉及建设内容）</w:t>
      </w:r>
      <w:bookmarkEnd w:id="110"/>
    </w:p>
    <w:p w14:paraId="31C2AA63">
      <w:pPr>
        <w:pStyle w:val="2"/>
        <w:ind w:firstLine="360"/>
        <w:rPr>
          <w:rFonts w:hint="eastAsia" w:asciiTheme="minorEastAsia" w:hAnsiTheme="minorEastAsia" w:eastAsiaTheme="minorEastAsia" w:cstheme="minorEastAsia"/>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9"/>
        <w:gridCol w:w="1150"/>
        <w:gridCol w:w="1194"/>
        <w:gridCol w:w="1460"/>
        <w:gridCol w:w="4953"/>
      </w:tblGrid>
      <w:tr w14:paraId="6F6BF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Align w:val="center"/>
          </w:tcPr>
          <w:p w14:paraId="140F59D4">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序号</w:t>
            </w:r>
          </w:p>
        </w:tc>
        <w:tc>
          <w:tcPr>
            <w:tcW w:w="619" w:type="pct"/>
            <w:vAlign w:val="center"/>
          </w:tcPr>
          <w:p w14:paraId="2BF5E6E5">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一级指标</w:t>
            </w:r>
          </w:p>
        </w:tc>
        <w:tc>
          <w:tcPr>
            <w:tcW w:w="643" w:type="pct"/>
            <w:vAlign w:val="center"/>
          </w:tcPr>
          <w:p w14:paraId="13A7A09B">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二级指标</w:t>
            </w:r>
          </w:p>
        </w:tc>
        <w:tc>
          <w:tcPr>
            <w:tcW w:w="786" w:type="pct"/>
            <w:vAlign w:val="center"/>
          </w:tcPr>
          <w:p w14:paraId="20C923BE">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三级指标</w:t>
            </w:r>
          </w:p>
        </w:tc>
        <w:tc>
          <w:tcPr>
            <w:tcW w:w="2667" w:type="pct"/>
            <w:vAlign w:val="center"/>
          </w:tcPr>
          <w:p w14:paraId="5F6CE3CC">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指标解释</w:t>
            </w:r>
          </w:p>
        </w:tc>
      </w:tr>
      <w:tr w14:paraId="3AF2E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Merge w:val="restart"/>
            <w:vAlign w:val="center"/>
          </w:tcPr>
          <w:p w14:paraId="1BE253F0">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w:t>
            </w:r>
          </w:p>
        </w:tc>
        <w:tc>
          <w:tcPr>
            <w:tcW w:w="619" w:type="pct"/>
            <w:vMerge w:val="restart"/>
            <w:vAlign w:val="center"/>
          </w:tcPr>
          <w:p w14:paraId="54BAEDFC">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产出（42分）</w:t>
            </w:r>
          </w:p>
        </w:tc>
        <w:tc>
          <w:tcPr>
            <w:tcW w:w="643" w:type="pct"/>
            <w:vMerge w:val="restart"/>
            <w:vAlign w:val="center"/>
          </w:tcPr>
          <w:p w14:paraId="2248C78C">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竣工验收(42分)</w:t>
            </w:r>
          </w:p>
        </w:tc>
        <w:tc>
          <w:tcPr>
            <w:tcW w:w="786" w:type="pct"/>
            <w:vAlign w:val="center"/>
          </w:tcPr>
          <w:p w14:paraId="5D1C0805">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产出数量(6分)</w:t>
            </w:r>
          </w:p>
        </w:tc>
        <w:tc>
          <w:tcPr>
            <w:tcW w:w="2667" w:type="pct"/>
            <w:vAlign w:val="center"/>
          </w:tcPr>
          <w:p w14:paraId="176C9092">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按相关约定建成智慧停车系统、充电桩等建设内容情况</w:t>
            </w:r>
          </w:p>
        </w:tc>
      </w:tr>
      <w:tr w14:paraId="57091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Merge w:val="continue"/>
            <w:vAlign w:val="center"/>
          </w:tcPr>
          <w:p w14:paraId="12D3B206">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19" w:type="pct"/>
            <w:vMerge w:val="continue"/>
            <w:vAlign w:val="center"/>
          </w:tcPr>
          <w:p w14:paraId="5E615C3B">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43" w:type="pct"/>
            <w:vMerge w:val="continue"/>
            <w:vAlign w:val="center"/>
          </w:tcPr>
          <w:p w14:paraId="581C2B48">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786" w:type="pct"/>
            <w:vAlign w:val="center"/>
          </w:tcPr>
          <w:p w14:paraId="4BB55FEB">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产出质量(6分)</w:t>
            </w:r>
          </w:p>
        </w:tc>
        <w:tc>
          <w:tcPr>
            <w:tcW w:w="2667" w:type="pct"/>
            <w:vAlign w:val="center"/>
          </w:tcPr>
          <w:p w14:paraId="082D9064">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项目质量合格率</w:t>
            </w:r>
          </w:p>
        </w:tc>
      </w:tr>
      <w:tr w14:paraId="634A8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Merge w:val="continue"/>
            <w:vAlign w:val="center"/>
          </w:tcPr>
          <w:p w14:paraId="124CB0DA">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19" w:type="pct"/>
            <w:vMerge w:val="continue"/>
            <w:vAlign w:val="center"/>
          </w:tcPr>
          <w:p w14:paraId="23295651">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43" w:type="pct"/>
            <w:vMerge w:val="continue"/>
            <w:vAlign w:val="center"/>
          </w:tcPr>
          <w:p w14:paraId="03E120F8">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786" w:type="pct"/>
            <w:vAlign w:val="center"/>
          </w:tcPr>
          <w:p w14:paraId="6EBA7EC4">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产出时效(6分)</w:t>
            </w:r>
          </w:p>
        </w:tc>
        <w:tc>
          <w:tcPr>
            <w:tcW w:w="2667" w:type="pct"/>
            <w:vAlign w:val="center"/>
          </w:tcPr>
          <w:p w14:paraId="039E19A5">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项目完成及时性</w:t>
            </w:r>
          </w:p>
        </w:tc>
      </w:tr>
      <w:tr w14:paraId="3EB89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Merge w:val="continue"/>
            <w:vAlign w:val="center"/>
          </w:tcPr>
          <w:p w14:paraId="3E0C8270">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19" w:type="pct"/>
            <w:vMerge w:val="continue"/>
            <w:vAlign w:val="center"/>
          </w:tcPr>
          <w:p w14:paraId="00F4DA95">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43" w:type="pct"/>
            <w:vMerge w:val="continue"/>
            <w:vAlign w:val="center"/>
          </w:tcPr>
          <w:p w14:paraId="4C723C14">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786" w:type="pct"/>
            <w:vAlign w:val="center"/>
          </w:tcPr>
          <w:p w14:paraId="55779CB6">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产出成本(6分)</w:t>
            </w:r>
          </w:p>
        </w:tc>
        <w:tc>
          <w:tcPr>
            <w:tcW w:w="2667" w:type="pct"/>
            <w:vAlign w:val="center"/>
          </w:tcPr>
          <w:p w14:paraId="68C3E86D">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项目预算执行率</w:t>
            </w:r>
          </w:p>
        </w:tc>
      </w:tr>
      <w:tr w14:paraId="00B53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Merge w:val="continue"/>
            <w:vAlign w:val="center"/>
          </w:tcPr>
          <w:p w14:paraId="4A73BFB0">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19" w:type="pct"/>
            <w:vMerge w:val="continue"/>
            <w:vAlign w:val="center"/>
          </w:tcPr>
          <w:p w14:paraId="558DAC6F">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43" w:type="pct"/>
            <w:vMerge w:val="continue"/>
            <w:vAlign w:val="center"/>
          </w:tcPr>
          <w:p w14:paraId="371D14F0">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786" w:type="pct"/>
            <w:vAlign w:val="center"/>
          </w:tcPr>
          <w:p w14:paraId="71B90344">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竣工验收(6分)</w:t>
            </w:r>
          </w:p>
        </w:tc>
        <w:tc>
          <w:tcPr>
            <w:tcW w:w="2667" w:type="pct"/>
            <w:vAlign w:val="center"/>
          </w:tcPr>
          <w:p w14:paraId="61BF3DDD">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项目竣工验收情况</w:t>
            </w:r>
          </w:p>
        </w:tc>
      </w:tr>
      <w:tr w14:paraId="2B4DD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Merge w:val="continue"/>
            <w:vAlign w:val="center"/>
          </w:tcPr>
          <w:p w14:paraId="4259BC8D">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19" w:type="pct"/>
            <w:vMerge w:val="continue"/>
            <w:vAlign w:val="center"/>
          </w:tcPr>
          <w:p w14:paraId="07A351DB">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43" w:type="pct"/>
            <w:vMerge w:val="continue"/>
            <w:vAlign w:val="center"/>
          </w:tcPr>
          <w:p w14:paraId="1F87FB54">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786" w:type="pct"/>
            <w:vAlign w:val="center"/>
          </w:tcPr>
          <w:p w14:paraId="3EC184E8">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履约情况(6分)</w:t>
            </w:r>
          </w:p>
        </w:tc>
        <w:tc>
          <w:tcPr>
            <w:tcW w:w="2667" w:type="pct"/>
            <w:vAlign w:val="center"/>
          </w:tcPr>
          <w:p w14:paraId="21148562">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项目履行合作协议情况</w:t>
            </w:r>
          </w:p>
        </w:tc>
      </w:tr>
      <w:tr w14:paraId="17CEE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Merge w:val="continue"/>
            <w:vAlign w:val="center"/>
          </w:tcPr>
          <w:p w14:paraId="643AD8CD">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19" w:type="pct"/>
            <w:vMerge w:val="continue"/>
            <w:vAlign w:val="center"/>
          </w:tcPr>
          <w:p w14:paraId="409C0BBC">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43" w:type="pct"/>
            <w:vMerge w:val="continue"/>
            <w:vAlign w:val="center"/>
          </w:tcPr>
          <w:p w14:paraId="3D7B0E47">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786" w:type="pct"/>
            <w:vAlign w:val="center"/>
          </w:tcPr>
          <w:p w14:paraId="34DF919C">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成本控制(6分)</w:t>
            </w:r>
          </w:p>
        </w:tc>
        <w:tc>
          <w:tcPr>
            <w:tcW w:w="2667" w:type="pct"/>
            <w:vAlign w:val="center"/>
          </w:tcPr>
          <w:p w14:paraId="7FE1E303">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项目建设成本管控情况</w:t>
            </w:r>
          </w:p>
        </w:tc>
      </w:tr>
      <w:tr w14:paraId="4BDB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Merge w:val="restart"/>
            <w:vAlign w:val="center"/>
          </w:tcPr>
          <w:p w14:paraId="775B3870">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2</w:t>
            </w:r>
          </w:p>
        </w:tc>
        <w:tc>
          <w:tcPr>
            <w:tcW w:w="619" w:type="pct"/>
            <w:vMerge w:val="restart"/>
            <w:vAlign w:val="center"/>
          </w:tcPr>
          <w:p w14:paraId="01910CBD">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效果(40分)</w:t>
            </w:r>
          </w:p>
        </w:tc>
        <w:tc>
          <w:tcPr>
            <w:tcW w:w="643" w:type="pct"/>
            <w:vAlign w:val="center"/>
          </w:tcPr>
          <w:p w14:paraId="34A25F71">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社会影响(10分)</w:t>
            </w:r>
          </w:p>
        </w:tc>
        <w:tc>
          <w:tcPr>
            <w:tcW w:w="786" w:type="pct"/>
            <w:vAlign w:val="center"/>
          </w:tcPr>
          <w:p w14:paraId="54342F0B">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社会效益(10分)</w:t>
            </w:r>
          </w:p>
        </w:tc>
        <w:tc>
          <w:tcPr>
            <w:tcW w:w="2667" w:type="pct"/>
            <w:vAlign w:val="center"/>
          </w:tcPr>
          <w:p w14:paraId="70FD98CA">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项目建设对社会发展所带来的直接或间接影响情况</w:t>
            </w:r>
          </w:p>
        </w:tc>
      </w:tr>
      <w:tr w14:paraId="5CF5D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Merge w:val="continue"/>
            <w:vAlign w:val="center"/>
          </w:tcPr>
          <w:p w14:paraId="3CDE2724">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19" w:type="pct"/>
            <w:vMerge w:val="continue"/>
            <w:vAlign w:val="center"/>
          </w:tcPr>
          <w:p w14:paraId="319066D9">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43" w:type="pct"/>
            <w:vAlign w:val="center"/>
          </w:tcPr>
          <w:p w14:paraId="0BC65359">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生态影响(10分)</w:t>
            </w:r>
          </w:p>
        </w:tc>
        <w:tc>
          <w:tcPr>
            <w:tcW w:w="786" w:type="pct"/>
            <w:vAlign w:val="center"/>
          </w:tcPr>
          <w:p w14:paraId="52783FDE">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生态效益(10分)</w:t>
            </w:r>
          </w:p>
        </w:tc>
        <w:tc>
          <w:tcPr>
            <w:tcW w:w="2667" w:type="pct"/>
            <w:vAlign w:val="center"/>
          </w:tcPr>
          <w:p w14:paraId="6A370CE0">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项目建设、运营对生态环境所带来的直接或间接影响情况</w:t>
            </w:r>
          </w:p>
        </w:tc>
      </w:tr>
      <w:tr w14:paraId="4CFDF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Merge w:val="continue"/>
            <w:vAlign w:val="center"/>
          </w:tcPr>
          <w:p w14:paraId="5E2FE066">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19" w:type="pct"/>
            <w:vMerge w:val="continue"/>
            <w:vAlign w:val="center"/>
          </w:tcPr>
          <w:p w14:paraId="6DC089DC">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43" w:type="pct"/>
            <w:vAlign w:val="center"/>
          </w:tcPr>
          <w:p w14:paraId="0E75B0D7">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可持续性(10分)</w:t>
            </w:r>
          </w:p>
        </w:tc>
        <w:tc>
          <w:tcPr>
            <w:tcW w:w="786" w:type="pct"/>
            <w:vAlign w:val="center"/>
          </w:tcPr>
          <w:p w14:paraId="540DDB95">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可持续性效益(10分)</w:t>
            </w:r>
          </w:p>
        </w:tc>
        <w:tc>
          <w:tcPr>
            <w:tcW w:w="2667" w:type="pct"/>
            <w:vAlign w:val="center"/>
          </w:tcPr>
          <w:p w14:paraId="32ADB4CD">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项目可持续性的保障和沟通协调机制</w:t>
            </w:r>
          </w:p>
        </w:tc>
      </w:tr>
      <w:tr w14:paraId="5DD77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Merge w:val="continue"/>
            <w:vAlign w:val="center"/>
          </w:tcPr>
          <w:p w14:paraId="45CDED83">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19" w:type="pct"/>
            <w:vMerge w:val="continue"/>
            <w:vAlign w:val="center"/>
          </w:tcPr>
          <w:p w14:paraId="081D8659">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43" w:type="pct"/>
            <w:vAlign w:val="center"/>
          </w:tcPr>
          <w:p w14:paraId="6FB7A9F2">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满意度(10分)</w:t>
            </w:r>
          </w:p>
        </w:tc>
        <w:tc>
          <w:tcPr>
            <w:tcW w:w="786" w:type="pct"/>
            <w:vAlign w:val="center"/>
          </w:tcPr>
          <w:p w14:paraId="73FF89CB">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满意度(10分)</w:t>
            </w:r>
          </w:p>
        </w:tc>
        <w:tc>
          <w:tcPr>
            <w:tcW w:w="2667" w:type="pct"/>
            <w:vAlign w:val="center"/>
          </w:tcPr>
          <w:p w14:paraId="2D562BB4">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政府相关部门、社会公众(服务对象)对项目建设、运营的满意程度</w:t>
            </w:r>
          </w:p>
        </w:tc>
      </w:tr>
      <w:tr w14:paraId="0468A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Merge w:val="restart"/>
            <w:vAlign w:val="center"/>
          </w:tcPr>
          <w:p w14:paraId="2DB34E31">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3</w:t>
            </w:r>
          </w:p>
        </w:tc>
        <w:tc>
          <w:tcPr>
            <w:tcW w:w="619" w:type="pct"/>
            <w:vMerge w:val="restart"/>
            <w:vAlign w:val="center"/>
          </w:tcPr>
          <w:p w14:paraId="52CB840B">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管理（18分）</w:t>
            </w:r>
          </w:p>
        </w:tc>
        <w:tc>
          <w:tcPr>
            <w:tcW w:w="643" w:type="pct"/>
            <w:vAlign w:val="center"/>
          </w:tcPr>
          <w:p w14:paraId="64957675">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组织管理(3分)</w:t>
            </w:r>
          </w:p>
        </w:tc>
        <w:tc>
          <w:tcPr>
            <w:tcW w:w="786" w:type="pct"/>
            <w:vAlign w:val="center"/>
          </w:tcPr>
          <w:p w14:paraId="54EE45E3">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组织管理(3分)</w:t>
            </w:r>
          </w:p>
        </w:tc>
        <w:tc>
          <w:tcPr>
            <w:tcW w:w="2667" w:type="pct"/>
            <w:vAlign w:val="center"/>
          </w:tcPr>
          <w:p w14:paraId="53FBF812">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项目管理的组织架构是否健全、人员配置是否合理，能否满足项目日常运作需求</w:t>
            </w:r>
          </w:p>
        </w:tc>
      </w:tr>
      <w:tr w14:paraId="6FA0C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Merge w:val="continue"/>
            <w:vAlign w:val="center"/>
          </w:tcPr>
          <w:p w14:paraId="3DB06C53">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19" w:type="pct"/>
            <w:vMerge w:val="continue"/>
            <w:vAlign w:val="center"/>
          </w:tcPr>
          <w:p w14:paraId="34387FD9">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43" w:type="pct"/>
            <w:vAlign w:val="center"/>
          </w:tcPr>
          <w:p w14:paraId="768D7D8C">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资金管理(3分)</w:t>
            </w:r>
          </w:p>
        </w:tc>
        <w:tc>
          <w:tcPr>
            <w:tcW w:w="786" w:type="pct"/>
            <w:vAlign w:val="center"/>
          </w:tcPr>
          <w:p w14:paraId="2D165C45">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资金管理(3分)</w:t>
            </w:r>
          </w:p>
        </w:tc>
        <w:tc>
          <w:tcPr>
            <w:tcW w:w="2667" w:type="pct"/>
            <w:vAlign w:val="center"/>
          </w:tcPr>
          <w:p w14:paraId="4DDE9902">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项目资本金及项目借款的到位率和及时性</w:t>
            </w:r>
          </w:p>
        </w:tc>
      </w:tr>
      <w:tr w14:paraId="53105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Merge w:val="continue"/>
            <w:vAlign w:val="center"/>
          </w:tcPr>
          <w:p w14:paraId="063F84B8">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19" w:type="pct"/>
            <w:vMerge w:val="continue"/>
            <w:vAlign w:val="center"/>
          </w:tcPr>
          <w:p w14:paraId="4DD341A9">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43" w:type="pct"/>
            <w:vAlign w:val="center"/>
          </w:tcPr>
          <w:p w14:paraId="3C8AE0CA">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档案管理(3分)</w:t>
            </w:r>
          </w:p>
        </w:tc>
        <w:tc>
          <w:tcPr>
            <w:tcW w:w="786" w:type="pct"/>
            <w:vAlign w:val="center"/>
          </w:tcPr>
          <w:p w14:paraId="36DE6A8B">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档案管理(3分)</w:t>
            </w:r>
          </w:p>
        </w:tc>
        <w:tc>
          <w:tcPr>
            <w:tcW w:w="2667" w:type="pct"/>
            <w:vAlign w:val="center"/>
          </w:tcPr>
          <w:p w14:paraId="0DAA2314">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项目建设、运营有关资料的完整性、真实性</w:t>
            </w:r>
          </w:p>
        </w:tc>
      </w:tr>
      <w:tr w14:paraId="08FCF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Merge w:val="continue"/>
            <w:vAlign w:val="center"/>
          </w:tcPr>
          <w:p w14:paraId="359EC7C0">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19" w:type="pct"/>
            <w:vMerge w:val="continue"/>
            <w:vAlign w:val="center"/>
          </w:tcPr>
          <w:p w14:paraId="2761E964">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43" w:type="pct"/>
            <w:vAlign w:val="center"/>
          </w:tcPr>
          <w:p w14:paraId="72437698">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信息公开(3分)</w:t>
            </w:r>
          </w:p>
        </w:tc>
        <w:tc>
          <w:tcPr>
            <w:tcW w:w="786" w:type="pct"/>
            <w:vAlign w:val="center"/>
          </w:tcPr>
          <w:p w14:paraId="21299A2F">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信息公开(3分)</w:t>
            </w:r>
          </w:p>
        </w:tc>
        <w:tc>
          <w:tcPr>
            <w:tcW w:w="2667" w:type="pct"/>
            <w:vAlign w:val="center"/>
          </w:tcPr>
          <w:p w14:paraId="540CC561">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项目履行信息公开义务的及时性与准确性</w:t>
            </w:r>
          </w:p>
        </w:tc>
      </w:tr>
      <w:tr w14:paraId="0E94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Merge w:val="continue"/>
            <w:vAlign w:val="center"/>
          </w:tcPr>
          <w:p w14:paraId="6CCD422F">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19" w:type="pct"/>
            <w:vMerge w:val="continue"/>
            <w:vAlign w:val="center"/>
          </w:tcPr>
          <w:p w14:paraId="1970EEBA">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43" w:type="pct"/>
            <w:vAlign w:val="center"/>
          </w:tcPr>
          <w:p w14:paraId="1C830D8B">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前期工作(3分)</w:t>
            </w:r>
          </w:p>
        </w:tc>
        <w:tc>
          <w:tcPr>
            <w:tcW w:w="786" w:type="pct"/>
            <w:vAlign w:val="center"/>
          </w:tcPr>
          <w:p w14:paraId="6AAB5B45">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前期工作(3分)</w:t>
            </w:r>
          </w:p>
        </w:tc>
        <w:tc>
          <w:tcPr>
            <w:tcW w:w="2667" w:type="pct"/>
            <w:vAlign w:val="center"/>
          </w:tcPr>
          <w:p w14:paraId="4AD954BC">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项目前期手续及各项工作的落实情况</w:t>
            </w:r>
          </w:p>
        </w:tc>
      </w:tr>
      <w:tr w14:paraId="2E19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5" w:type="pct"/>
            <w:vMerge w:val="continue"/>
            <w:vAlign w:val="center"/>
          </w:tcPr>
          <w:p w14:paraId="7524FFA2">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19" w:type="pct"/>
            <w:vMerge w:val="continue"/>
            <w:vAlign w:val="center"/>
          </w:tcPr>
          <w:p w14:paraId="276FD381">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p>
        </w:tc>
        <w:tc>
          <w:tcPr>
            <w:tcW w:w="643" w:type="pct"/>
            <w:vAlign w:val="center"/>
          </w:tcPr>
          <w:p w14:paraId="0811B3D7">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资金管理(3分)</w:t>
            </w:r>
          </w:p>
        </w:tc>
        <w:tc>
          <w:tcPr>
            <w:tcW w:w="786" w:type="pct"/>
            <w:vAlign w:val="center"/>
          </w:tcPr>
          <w:p w14:paraId="2A2CE685">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资金管理(3分)</w:t>
            </w:r>
          </w:p>
        </w:tc>
        <w:tc>
          <w:tcPr>
            <w:tcW w:w="2667" w:type="pct"/>
            <w:vAlign w:val="center"/>
          </w:tcPr>
          <w:p w14:paraId="179444A0">
            <w:pPr>
              <w:widowControl/>
              <w:spacing w:line="240" w:lineRule="auto"/>
              <w:ind w:firstLine="0" w:firstLineChars="0"/>
              <w:jc w:val="center"/>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项目资金专款专用情况</w:t>
            </w:r>
          </w:p>
        </w:tc>
      </w:tr>
    </w:tbl>
    <w:p w14:paraId="2062EFDE">
      <w:pPr>
        <w:pStyle w:val="2"/>
        <w:ind w:firstLine="0" w:firstLineChars="0"/>
        <w:rPr>
          <w:rFonts w:hint="eastAsia" w:asciiTheme="minorEastAsia" w:hAnsiTheme="minorEastAsia" w:eastAsiaTheme="minorEastAsia" w:cstheme="minorEastAsia"/>
          <w:lang w:eastAsia="zh-Hans"/>
        </w:rPr>
      </w:pPr>
    </w:p>
    <w:p w14:paraId="0E98DAF0">
      <w:pPr>
        <w:pStyle w:val="2"/>
        <w:ind w:firstLine="360"/>
        <w:rPr>
          <w:rFonts w:hint="eastAsia" w:asciiTheme="minorEastAsia" w:hAnsiTheme="minorEastAsia" w:eastAsiaTheme="minorEastAsia" w:cstheme="minorEastAsia"/>
          <w:lang w:eastAsia="zh-Hans"/>
        </w:rPr>
      </w:pPr>
    </w:p>
    <w:p w14:paraId="1913E103">
      <w:pPr>
        <w:pStyle w:val="2"/>
        <w:ind w:firstLine="360"/>
        <w:rPr>
          <w:rFonts w:hint="eastAsia" w:asciiTheme="minorEastAsia" w:hAnsiTheme="minorEastAsia" w:eastAsiaTheme="minorEastAsia" w:cstheme="minorEastAsia"/>
          <w:lang w:eastAsia="zh-Hans"/>
        </w:rPr>
      </w:pPr>
    </w:p>
    <w:p w14:paraId="2AABEFEE">
      <w:pPr>
        <w:pStyle w:val="2"/>
        <w:ind w:firstLine="360"/>
        <w:rPr>
          <w:rFonts w:hint="eastAsia" w:asciiTheme="minorEastAsia" w:hAnsiTheme="minorEastAsia" w:eastAsiaTheme="minorEastAsia" w:cstheme="minorEastAsia"/>
          <w:lang w:eastAsia="zh-Hans"/>
        </w:rPr>
      </w:pPr>
    </w:p>
    <w:p w14:paraId="21204E03">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br w:type="page"/>
      </w:r>
    </w:p>
    <w:p w14:paraId="6F5D86AE">
      <w:pPr>
        <w:ind w:firstLine="280" w:firstLineChars="100"/>
        <w:outlineLvl w:val="0"/>
        <w:rPr>
          <w:rFonts w:hint="eastAsia" w:asciiTheme="minorEastAsia" w:hAnsiTheme="minorEastAsia" w:eastAsiaTheme="minorEastAsia" w:cstheme="minorEastAsia"/>
          <w:lang w:eastAsia="zh-Hans"/>
        </w:rPr>
      </w:pPr>
      <w:bookmarkStart w:id="111" w:name="_Toc223006318"/>
      <w:r>
        <w:rPr>
          <w:rFonts w:hint="eastAsia" w:asciiTheme="minorEastAsia" w:hAnsiTheme="minorEastAsia" w:eastAsiaTheme="minorEastAsia" w:cstheme="minorEastAsia"/>
          <w:lang w:eastAsia="zh-Hans"/>
        </w:rPr>
        <w:t xml:space="preserve">附件 </w:t>
      </w: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eastAsia="zh-Hans"/>
        </w:rPr>
        <w:t>：运营期绩效考核指标体系</w:t>
      </w:r>
      <w:bookmarkEnd w:id="111"/>
    </w:p>
    <w:p w14:paraId="7204A6E3">
      <w:pPr>
        <w:pStyle w:val="2"/>
        <w:ind w:firstLine="360"/>
        <w:rPr>
          <w:rFonts w:hint="eastAsia" w:asciiTheme="minorEastAsia" w:hAnsiTheme="minorEastAsia" w:eastAsiaTheme="minorEastAsia" w:cstheme="minorEastAsia"/>
          <w:lang w:eastAsia="zh-Hans"/>
        </w:rPr>
      </w:pP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852"/>
        <w:gridCol w:w="851"/>
        <w:gridCol w:w="3544"/>
        <w:gridCol w:w="3224"/>
      </w:tblGrid>
      <w:tr w14:paraId="3BD76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439" w:type="pct"/>
            <w:vAlign w:val="center"/>
          </w:tcPr>
          <w:p w14:paraId="37833F09">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一级指标</w:t>
            </w:r>
          </w:p>
        </w:tc>
        <w:tc>
          <w:tcPr>
            <w:tcW w:w="459" w:type="pct"/>
            <w:vAlign w:val="center"/>
          </w:tcPr>
          <w:p w14:paraId="41161DC0">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二级指标</w:t>
            </w:r>
          </w:p>
        </w:tc>
        <w:tc>
          <w:tcPr>
            <w:tcW w:w="458" w:type="pct"/>
            <w:vAlign w:val="center"/>
          </w:tcPr>
          <w:p w14:paraId="088034A8">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三级指标</w:t>
            </w:r>
          </w:p>
        </w:tc>
        <w:tc>
          <w:tcPr>
            <w:tcW w:w="1908" w:type="pct"/>
            <w:vAlign w:val="center"/>
          </w:tcPr>
          <w:p w14:paraId="3970C5B5">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指标解释</w:t>
            </w:r>
          </w:p>
        </w:tc>
        <w:tc>
          <w:tcPr>
            <w:tcW w:w="1736" w:type="pct"/>
            <w:vAlign w:val="center"/>
          </w:tcPr>
          <w:p w14:paraId="365D7ED5">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计分标准</w:t>
            </w:r>
          </w:p>
        </w:tc>
      </w:tr>
      <w:tr w14:paraId="081D2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restart"/>
            <w:vAlign w:val="center"/>
          </w:tcPr>
          <w:p w14:paraId="52D1A562">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产出</w:t>
            </w:r>
          </w:p>
          <w:p w14:paraId="4FC280BC">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（60分）</w:t>
            </w:r>
          </w:p>
        </w:tc>
        <w:tc>
          <w:tcPr>
            <w:tcW w:w="459" w:type="pct"/>
            <w:vMerge w:val="restart"/>
            <w:vAlign w:val="center"/>
          </w:tcPr>
          <w:p w14:paraId="73D187DB">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项目运营</w:t>
            </w:r>
          </w:p>
          <w:p w14:paraId="4855DB69">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（20分）</w:t>
            </w:r>
          </w:p>
        </w:tc>
        <w:tc>
          <w:tcPr>
            <w:tcW w:w="458" w:type="pct"/>
            <w:vMerge w:val="restart"/>
            <w:vAlign w:val="center"/>
          </w:tcPr>
          <w:p w14:paraId="20CF38EB">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项目设施运行考核（20分）</w:t>
            </w:r>
          </w:p>
        </w:tc>
        <w:tc>
          <w:tcPr>
            <w:tcW w:w="1908" w:type="pct"/>
            <w:vMerge w:val="restart"/>
            <w:vAlign w:val="center"/>
          </w:tcPr>
          <w:p w14:paraId="48C746D1">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评价项目运营的数量、质量与时效等目标完成情况；项目设施是否按照标准运行，设施的运行水平达到正常使用要求。</w:t>
            </w:r>
          </w:p>
        </w:tc>
        <w:tc>
          <w:tcPr>
            <w:tcW w:w="1736" w:type="pct"/>
            <w:vAlign w:val="center"/>
          </w:tcPr>
          <w:p w14:paraId="1FF4A9A7">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项目设施、设备年安全运行时长（5分）</w:t>
            </w:r>
          </w:p>
        </w:tc>
      </w:tr>
      <w:tr w14:paraId="636F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61F2AC95">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35D3C76A">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18960DF1">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4FA1A79F">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07A86D23">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项目设施、设备故障频率（5分）</w:t>
            </w:r>
          </w:p>
        </w:tc>
      </w:tr>
      <w:tr w14:paraId="3BDE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46AF25D4">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484B1E2A">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04D11D88">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6566AFF0">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2F78799B">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项目设施、设备排障频率（5分）</w:t>
            </w:r>
          </w:p>
        </w:tc>
      </w:tr>
      <w:tr w14:paraId="79D6D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50A461E1">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4D4BE222">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732F13AE">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7012F88A">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22D5A991">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项目设施、设备清洁情况（5分）</w:t>
            </w:r>
          </w:p>
        </w:tc>
      </w:tr>
      <w:tr w14:paraId="643E9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41A8CE41">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restart"/>
            <w:vAlign w:val="center"/>
          </w:tcPr>
          <w:p w14:paraId="03FD6776">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项目维护</w:t>
            </w:r>
          </w:p>
          <w:p w14:paraId="2B76D729">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（24分）</w:t>
            </w:r>
          </w:p>
        </w:tc>
        <w:tc>
          <w:tcPr>
            <w:tcW w:w="458" w:type="pct"/>
            <w:vMerge w:val="restart"/>
            <w:vAlign w:val="center"/>
          </w:tcPr>
          <w:p w14:paraId="092909B4">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项目设施维护考核（24分）</w:t>
            </w:r>
          </w:p>
        </w:tc>
        <w:tc>
          <w:tcPr>
            <w:tcW w:w="1908" w:type="pct"/>
            <w:vMerge w:val="restart"/>
            <w:vAlign w:val="center"/>
          </w:tcPr>
          <w:p w14:paraId="0665EEA6">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主要考核项目设施、设备是否按照标准进行维修养护，保证设施的正常运行。</w:t>
            </w:r>
          </w:p>
        </w:tc>
        <w:tc>
          <w:tcPr>
            <w:tcW w:w="1736" w:type="pct"/>
            <w:vAlign w:val="center"/>
          </w:tcPr>
          <w:p w14:paraId="0F8108E2">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项目设施、设备定期维护（4分）</w:t>
            </w:r>
          </w:p>
        </w:tc>
      </w:tr>
      <w:tr w14:paraId="58CE9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4F48EC37">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3B9AEA13">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4112AA8D">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0425C04A">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374E7AED">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项目设施、设备日常巡检（4分）</w:t>
            </w:r>
          </w:p>
        </w:tc>
      </w:tr>
      <w:tr w14:paraId="11BD2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089FE5A3">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793945A0">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2530F9CC">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62EBC586">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0A058B49">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项目设施、设备升级改造（4分）</w:t>
            </w:r>
          </w:p>
        </w:tc>
      </w:tr>
      <w:tr w14:paraId="76DA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21B4CE23">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3054D109">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40E40236">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0635B773">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55CB647C">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项目设施、设备年安全运行时长（4分）</w:t>
            </w:r>
          </w:p>
        </w:tc>
      </w:tr>
      <w:tr w14:paraId="1F32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404E1D54">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0FC7F743">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05656D5B">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1F20EF63">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4D8C6CB3">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项目设施、设备完好率（4分）</w:t>
            </w:r>
          </w:p>
        </w:tc>
      </w:tr>
      <w:tr w14:paraId="2D93A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004750E0">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4AF64DCF">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6613CD06">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20AD4AB4">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3317A7F8">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项目设施、设备维护及时性（4分）</w:t>
            </w:r>
          </w:p>
        </w:tc>
      </w:tr>
      <w:tr w14:paraId="0678B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1394308E">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restart"/>
            <w:vAlign w:val="center"/>
          </w:tcPr>
          <w:p w14:paraId="371769DD">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成本效益（12分）</w:t>
            </w:r>
          </w:p>
        </w:tc>
        <w:tc>
          <w:tcPr>
            <w:tcW w:w="458" w:type="pct"/>
            <w:vMerge w:val="restart"/>
            <w:vAlign w:val="center"/>
          </w:tcPr>
          <w:p w14:paraId="1845188E">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项目运行成本考核（12分）</w:t>
            </w:r>
          </w:p>
        </w:tc>
        <w:tc>
          <w:tcPr>
            <w:tcW w:w="1908" w:type="pct"/>
            <w:vMerge w:val="restart"/>
            <w:vAlign w:val="center"/>
          </w:tcPr>
          <w:p w14:paraId="2DCBCE30">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评价项目运营维护的成本情况</w:t>
            </w:r>
          </w:p>
        </w:tc>
        <w:tc>
          <w:tcPr>
            <w:tcW w:w="1736" w:type="pct"/>
            <w:vAlign w:val="center"/>
          </w:tcPr>
          <w:p w14:paraId="7EB1CFAA">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实际成本与计划成本对比情况（3分）</w:t>
            </w:r>
          </w:p>
        </w:tc>
      </w:tr>
      <w:tr w14:paraId="068F1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5F25A463">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42205A35">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6E3180D6">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7C288CEC">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3AB32B40">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成本构成合理性（3分）</w:t>
            </w:r>
          </w:p>
        </w:tc>
      </w:tr>
      <w:tr w14:paraId="64995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3A7D079D">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6999DF6F">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4F1D9784">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3D4A75E6">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6C99D550">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成本节约率（3分）</w:t>
            </w:r>
          </w:p>
        </w:tc>
      </w:tr>
      <w:tr w14:paraId="51C5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6A0470FC">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476F575A">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1576EF70">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0ECC6A11">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530DC180">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投入产出比（3分）</w:t>
            </w:r>
          </w:p>
        </w:tc>
      </w:tr>
      <w:tr w14:paraId="6534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15A61037">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restart"/>
            <w:vAlign w:val="center"/>
          </w:tcPr>
          <w:p w14:paraId="1EC8DB75">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安全保障（4分）</w:t>
            </w:r>
          </w:p>
        </w:tc>
        <w:tc>
          <w:tcPr>
            <w:tcW w:w="458" w:type="pct"/>
            <w:vMerge w:val="restart"/>
            <w:vAlign w:val="center"/>
          </w:tcPr>
          <w:p w14:paraId="1A97EA4D">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应急保障措施考核（4分）</w:t>
            </w:r>
          </w:p>
        </w:tc>
        <w:tc>
          <w:tcPr>
            <w:tcW w:w="1908" w:type="pct"/>
            <w:vMerge w:val="restart"/>
            <w:vAlign w:val="center"/>
          </w:tcPr>
          <w:p w14:paraId="51045ACC">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评价项目在提供公共服务过程中安全保障情况</w:t>
            </w:r>
          </w:p>
        </w:tc>
        <w:tc>
          <w:tcPr>
            <w:tcW w:w="1736" w:type="pct"/>
            <w:vAlign w:val="center"/>
          </w:tcPr>
          <w:p w14:paraId="2F1C213F">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突发事件处置预警与演练（1分）</w:t>
            </w:r>
          </w:p>
        </w:tc>
      </w:tr>
      <w:tr w14:paraId="2FAE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206BAADC">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5D867244">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09DA8B53">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201FA2DB">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78B76BC5">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突发事件临时救助设施养护及物资更新（1分）</w:t>
            </w:r>
          </w:p>
        </w:tc>
      </w:tr>
      <w:tr w14:paraId="25379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4E71215A">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6519613F">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19B488C7">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3DEFFA6F">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3A673A62">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突发事件处置备品维护（1分）</w:t>
            </w:r>
          </w:p>
        </w:tc>
      </w:tr>
      <w:tr w14:paraId="6C5E3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605EBAB7">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2D2DDCE4">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537FEB92">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6D7D2A96">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75D7A191">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突发事件处置效率及影响（1分）</w:t>
            </w:r>
          </w:p>
        </w:tc>
      </w:tr>
      <w:tr w14:paraId="5BA2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restart"/>
            <w:vAlign w:val="center"/>
          </w:tcPr>
          <w:p w14:paraId="75C64227">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效果</w:t>
            </w:r>
          </w:p>
          <w:p w14:paraId="51E4DB83">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（20分）</w:t>
            </w:r>
          </w:p>
        </w:tc>
        <w:tc>
          <w:tcPr>
            <w:tcW w:w="459" w:type="pct"/>
            <w:vAlign w:val="center"/>
          </w:tcPr>
          <w:p w14:paraId="53C6087B">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经济影响（4分）</w:t>
            </w:r>
          </w:p>
        </w:tc>
        <w:tc>
          <w:tcPr>
            <w:tcW w:w="458" w:type="pct"/>
            <w:vAlign w:val="center"/>
          </w:tcPr>
          <w:p w14:paraId="6F4032FE">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经济效益（4分）</w:t>
            </w:r>
          </w:p>
        </w:tc>
        <w:tc>
          <w:tcPr>
            <w:tcW w:w="1908" w:type="pct"/>
            <w:vAlign w:val="center"/>
          </w:tcPr>
          <w:p w14:paraId="0CF13216">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评价项目实施对经济发展所带来的直接或间接的正负面影响情况</w:t>
            </w:r>
          </w:p>
        </w:tc>
        <w:tc>
          <w:tcPr>
            <w:tcW w:w="1736" w:type="pct"/>
            <w:vAlign w:val="center"/>
          </w:tcPr>
          <w:p w14:paraId="1C1B3A8E">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产业带动及区域经济影响（4分）</w:t>
            </w:r>
          </w:p>
        </w:tc>
      </w:tr>
      <w:tr w14:paraId="57EC9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74040329">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restart"/>
            <w:vAlign w:val="center"/>
          </w:tcPr>
          <w:p w14:paraId="58FA392C">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生态影响（4分）</w:t>
            </w:r>
          </w:p>
        </w:tc>
        <w:tc>
          <w:tcPr>
            <w:tcW w:w="458" w:type="pct"/>
            <w:vMerge w:val="restart"/>
            <w:vAlign w:val="center"/>
          </w:tcPr>
          <w:p w14:paraId="127041CD">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生态效益（4分）</w:t>
            </w:r>
          </w:p>
        </w:tc>
        <w:tc>
          <w:tcPr>
            <w:tcW w:w="1908" w:type="pct"/>
            <w:vMerge w:val="restart"/>
            <w:vAlign w:val="center"/>
          </w:tcPr>
          <w:p w14:paraId="77990FC4">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评价项目实施对生态环境所带来的直接或间接的正负面影响情况</w:t>
            </w:r>
          </w:p>
        </w:tc>
        <w:tc>
          <w:tcPr>
            <w:tcW w:w="1736" w:type="pct"/>
            <w:vAlign w:val="center"/>
          </w:tcPr>
          <w:p w14:paraId="45FEB82E">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节能减排（2分）</w:t>
            </w:r>
          </w:p>
        </w:tc>
      </w:tr>
      <w:tr w14:paraId="74934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2B94A2AC">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00315A8F">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006BCAAA">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424A7D67">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3EB9AF9F">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环保处罚，辖区范围内的违规、违法行为（2分）</w:t>
            </w:r>
          </w:p>
        </w:tc>
      </w:tr>
      <w:tr w14:paraId="397B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50E59CD3">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restart"/>
            <w:vAlign w:val="center"/>
          </w:tcPr>
          <w:p w14:paraId="13BE1882">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社会影响（4分）</w:t>
            </w:r>
          </w:p>
        </w:tc>
        <w:tc>
          <w:tcPr>
            <w:tcW w:w="458" w:type="pct"/>
            <w:vMerge w:val="restart"/>
            <w:vAlign w:val="center"/>
          </w:tcPr>
          <w:p w14:paraId="7EBEDC22">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社会效益（4分）</w:t>
            </w:r>
          </w:p>
        </w:tc>
        <w:tc>
          <w:tcPr>
            <w:tcW w:w="1908" w:type="pct"/>
            <w:vMerge w:val="restart"/>
            <w:vAlign w:val="center"/>
          </w:tcPr>
          <w:p w14:paraId="7B100B4B">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评价项目实施对社会发展所带来的直接或间接的正负面影响情况</w:t>
            </w:r>
          </w:p>
        </w:tc>
        <w:tc>
          <w:tcPr>
            <w:tcW w:w="1736" w:type="pct"/>
            <w:vAlign w:val="center"/>
          </w:tcPr>
          <w:p w14:paraId="318E41B2">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新增就业（1分）</w:t>
            </w:r>
          </w:p>
        </w:tc>
      </w:tr>
      <w:tr w14:paraId="51AD7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4133BE62">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791B99ED">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32ED219E">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4E2F8270">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0FABECF0">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社会荣誉：被省、市、区级媒体单位通报、刊登表扬（或批评）（1分）</w:t>
            </w:r>
          </w:p>
        </w:tc>
      </w:tr>
      <w:tr w14:paraId="44FFD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0789F3EE">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525F9EA4">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3955E7B9">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2FA77E7F">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47ACA341">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重大诉讼（1分）</w:t>
            </w:r>
          </w:p>
        </w:tc>
      </w:tr>
      <w:tr w14:paraId="11148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2699F30E">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7B0E16B5">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Merge w:val="continue"/>
            <w:vAlign w:val="center"/>
          </w:tcPr>
          <w:p w14:paraId="668A078D">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908" w:type="pct"/>
            <w:vMerge w:val="continue"/>
            <w:vAlign w:val="center"/>
          </w:tcPr>
          <w:p w14:paraId="58509858">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1736" w:type="pct"/>
            <w:vAlign w:val="center"/>
          </w:tcPr>
          <w:p w14:paraId="26F145EE">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公众舆情与群体性事件，群众举报、媒体曝光及督办令不在规定时间内处理（1分）</w:t>
            </w:r>
          </w:p>
        </w:tc>
      </w:tr>
      <w:tr w14:paraId="2DEA7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5C68CB63">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Align w:val="center"/>
          </w:tcPr>
          <w:p w14:paraId="3B4F77CC">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可持续性（4分）</w:t>
            </w:r>
          </w:p>
        </w:tc>
        <w:tc>
          <w:tcPr>
            <w:tcW w:w="458" w:type="pct"/>
            <w:vAlign w:val="center"/>
          </w:tcPr>
          <w:p w14:paraId="72B396FC">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可持续影响（4分）</w:t>
            </w:r>
          </w:p>
        </w:tc>
        <w:tc>
          <w:tcPr>
            <w:tcW w:w="1908" w:type="pct"/>
            <w:vAlign w:val="center"/>
          </w:tcPr>
          <w:p w14:paraId="6EB4457E">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评价项目在发展、运行管理及财务等方面的可持续性情况</w:t>
            </w:r>
          </w:p>
        </w:tc>
        <w:tc>
          <w:tcPr>
            <w:tcW w:w="1736" w:type="pct"/>
            <w:vAlign w:val="center"/>
          </w:tcPr>
          <w:p w14:paraId="14DAEE09">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可持续影响（4分）</w:t>
            </w:r>
          </w:p>
        </w:tc>
      </w:tr>
      <w:tr w14:paraId="48EB6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17817841">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Align w:val="center"/>
          </w:tcPr>
          <w:p w14:paraId="5CEF06FD">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满意度（4分）</w:t>
            </w:r>
          </w:p>
        </w:tc>
        <w:tc>
          <w:tcPr>
            <w:tcW w:w="458" w:type="pct"/>
            <w:vAlign w:val="center"/>
          </w:tcPr>
          <w:p w14:paraId="58EC0CA6">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满意度（4分）</w:t>
            </w:r>
          </w:p>
        </w:tc>
        <w:tc>
          <w:tcPr>
            <w:tcW w:w="1908" w:type="pct"/>
            <w:vAlign w:val="center"/>
          </w:tcPr>
          <w:p w14:paraId="72AE15FE">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政府相关部门、项目实施机构、社会公众（服务对象）对项目提供公共服务质量和效率的满意程度</w:t>
            </w:r>
          </w:p>
        </w:tc>
        <w:tc>
          <w:tcPr>
            <w:tcW w:w="1736" w:type="pct"/>
            <w:vAlign w:val="center"/>
          </w:tcPr>
          <w:p w14:paraId="1B8E9B60">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服务对象满意度（4分）</w:t>
            </w:r>
          </w:p>
        </w:tc>
      </w:tr>
      <w:tr w14:paraId="6D591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restart"/>
            <w:vAlign w:val="center"/>
          </w:tcPr>
          <w:p w14:paraId="0AC6F1EC">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管理（20分）</w:t>
            </w:r>
          </w:p>
        </w:tc>
        <w:tc>
          <w:tcPr>
            <w:tcW w:w="459" w:type="pct"/>
            <w:vMerge w:val="restart"/>
            <w:vAlign w:val="center"/>
          </w:tcPr>
          <w:p w14:paraId="0D3B972C">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管理体系（16分）</w:t>
            </w:r>
          </w:p>
        </w:tc>
        <w:tc>
          <w:tcPr>
            <w:tcW w:w="458" w:type="pct"/>
            <w:vAlign w:val="center"/>
          </w:tcPr>
          <w:p w14:paraId="42231B72">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组织管理（4分）</w:t>
            </w:r>
          </w:p>
        </w:tc>
        <w:tc>
          <w:tcPr>
            <w:tcW w:w="1908" w:type="pct"/>
            <w:vAlign w:val="center"/>
          </w:tcPr>
          <w:p w14:paraId="57E0C18C">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评价项目运营管理实施及组织保障等情况</w:t>
            </w:r>
          </w:p>
        </w:tc>
        <w:tc>
          <w:tcPr>
            <w:tcW w:w="1736" w:type="pct"/>
            <w:vAlign w:val="center"/>
          </w:tcPr>
          <w:p w14:paraId="646E0F98">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组织管理（4分）</w:t>
            </w:r>
          </w:p>
        </w:tc>
      </w:tr>
      <w:tr w14:paraId="63069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0EE483CB">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6FA0CCFF">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Align w:val="center"/>
          </w:tcPr>
          <w:p w14:paraId="06E55311">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财务管理（4分）</w:t>
            </w:r>
          </w:p>
        </w:tc>
        <w:tc>
          <w:tcPr>
            <w:tcW w:w="1908" w:type="pct"/>
            <w:vAlign w:val="center"/>
          </w:tcPr>
          <w:p w14:paraId="26B0738B">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评价项目资金管理、会计核算等财务管理内容的合规性</w:t>
            </w:r>
          </w:p>
        </w:tc>
        <w:tc>
          <w:tcPr>
            <w:tcW w:w="1736" w:type="pct"/>
            <w:vAlign w:val="center"/>
          </w:tcPr>
          <w:p w14:paraId="5A4D5018">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财务管理（4分）</w:t>
            </w:r>
          </w:p>
        </w:tc>
      </w:tr>
      <w:tr w14:paraId="3D9E7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0EBC97BE">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74160181">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Align w:val="center"/>
          </w:tcPr>
          <w:p w14:paraId="0B449585">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制度管理（4分）</w:t>
            </w:r>
          </w:p>
        </w:tc>
        <w:tc>
          <w:tcPr>
            <w:tcW w:w="1908" w:type="pct"/>
            <w:vAlign w:val="center"/>
          </w:tcPr>
          <w:p w14:paraId="6128D945">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评价内控制度的健全程度及执行效率</w:t>
            </w:r>
          </w:p>
        </w:tc>
        <w:tc>
          <w:tcPr>
            <w:tcW w:w="1736" w:type="pct"/>
            <w:vAlign w:val="center"/>
          </w:tcPr>
          <w:p w14:paraId="7724109E">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制度管理（4分）</w:t>
            </w:r>
          </w:p>
        </w:tc>
      </w:tr>
      <w:tr w14:paraId="4E52F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02E69E79">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Merge w:val="continue"/>
            <w:vAlign w:val="center"/>
          </w:tcPr>
          <w:p w14:paraId="645A45FF">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8" w:type="pct"/>
            <w:vAlign w:val="center"/>
          </w:tcPr>
          <w:p w14:paraId="763C30C3">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档案管理（4分）</w:t>
            </w:r>
          </w:p>
        </w:tc>
        <w:tc>
          <w:tcPr>
            <w:tcW w:w="1908" w:type="pct"/>
            <w:vAlign w:val="center"/>
          </w:tcPr>
          <w:p w14:paraId="7E27939C">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评价项目运营、维护等相关资料的完整性、真实性以及归集整理的及时性</w:t>
            </w:r>
          </w:p>
        </w:tc>
        <w:tc>
          <w:tcPr>
            <w:tcW w:w="1736" w:type="pct"/>
            <w:vAlign w:val="center"/>
          </w:tcPr>
          <w:p w14:paraId="4F56C1BB">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档案管理（4分）</w:t>
            </w:r>
          </w:p>
        </w:tc>
      </w:tr>
      <w:tr w14:paraId="63CC0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9" w:type="pct"/>
            <w:vMerge w:val="continue"/>
            <w:vAlign w:val="center"/>
          </w:tcPr>
          <w:p w14:paraId="601CD095">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p>
        </w:tc>
        <w:tc>
          <w:tcPr>
            <w:tcW w:w="459" w:type="pct"/>
            <w:vAlign w:val="center"/>
          </w:tcPr>
          <w:p w14:paraId="4C7ADC3D">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信息公开（4分）</w:t>
            </w:r>
          </w:p>
        </w:tc>
        <w:tc>
          <w:tcPr>
            <w:tcW w:w="458" w:type="pct"/>
            <w:vAlign w:val="center"/>
          </w:tcPr>
          <w:p w14:paraId="205FF085">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信息公开（4分）</w:t>
            </w:r>
          </w:p>
        </w:tc>
        <w:tc>
          <w:tcPr>
            <w:tcW w:w="1908" w:type="pct"/>
            <w:vAlign w:val="center"/>
          </w:tcPr>
          <w:p w14:paraId="1B9AE86C">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评价资源承接方履行信息公开义务的及时性与准确性</w:t>
            </w:r>
          </w:p>
        </w:tc>
        <w:tc>
          <w:tcPr>
            <w:tcW w:w="1736" w:type="pct"/>
            <w:vAlign w:val="center"/>
          </w:tcPr>
          <w:p w14:paraId="20D3435D">
            <w:pPr>
              <w:widowControl/>
              <w:spacing w:line="200" w:lineRule="exact"/>
              <w:ind w:firstLine="0" w:firstLineChars="0"/>
              <w:jc w:val="center"/>
              <w:rPr>
                <w:rFonts w:hint="eastAsia" w:asciiTheme="minorEastAsia" w:hAnsiTheme="minorEastAsia" w:eastAsiaTheme="minorEastAsia" w:cstheme="minorEastAsia"/>
                <w:color w:val="000000"/>
                <w:kern w:val="0"/>
                <w:sz w:val="13"/>
                <w:szCs w:val="13"/>
              </w:rPr>
            </w:pPr>
            <w:r>
              <w:rPr>
                <w:rFonts w:hint="eastAsia" w:asciiTheme="minorEastAsia" w:hAnsiTheme="minorEastAsia" w:eastAsiaTheme="minorEastAsia" w:cstheme="minorEastAsia"/>
                <w:color w:val="000000"/>
                <w:kern w:val="0"/>
                <w:sz w:val="13"/>
                <w:szCs w:val="13"/>
              </w:rPr>
              <w:t>信息公开（4分）</w:t>
            </w:r>
          </w:p>
        </w:tc>
      </w:tr>
    </w:tbl>
    <w:p w14:paraId="267189CD">
      <w:pPr>
        <w:pStyle w:val="2"/>
        <w:ind w:firstLine="360"/>
        <w:rPr>
          <w:rFonts w:hint="eastAsia" w:asciiTheme="minorEastAsia" w:hAnsiTheme="minorEastAsia" w:eastAsiaTheme="minorEastAsia" w:cstheme="minorEastAsia"/>
          <w:lang w:eastAsia="zh-Hans"/>
        </w:rPr>
      </w:pPr>
    </w:p>
    <w:p w14:paraId="6CC053DD">
      <w:pPr>
        <w:pStyle w:val="2"/>
        <w:ind w:firstLine="360"/>
        <w:rPr>
          <w:rFonts w:hint="eastAsia" w:asciiTheme="minorEastAsia" w:hAnsiTheme="minorEastAsia" w:eastAsiaTheme="minorEastAsia" w:cstheme="minorEastAsia"/>
          <w:lang w:eastAsia="zh-Hans"/>
        </w:rPr>
      </w:pPr>
    </w:p>
    <w:p w14:paraId="295E2FAF">
      <w:pPr>
        <w:pStyle w:val="2"/>
        <w:ind w:firstLine="360"/>
        <w:rPr>
          <w:rFonts w:hint="eastAsia" w:asciiTheme="minorEastAsia" w:hAnsiTheme="minorEastAsia" w:eastAsiaTheme="minorEastAsia" w:cstheme="minorEastAsia"/>
          <w:lang w:eastAsia="zh-Hans"/>
        </w:rPr>
      </w:pPr>
    </w:p>
    <w:p w14:paraId="1D5823B8">
      <w:pPr>
        <w:ind w:firstLine="560"/>
        <w:rPr>
          <w:rFonts w:hint="eastAsia" w:asciiTheme="minorEastAsia" w:hAnsiTheme="minorEastAsia" w:eastAsiaTheme="minorEastAsia" w:cstheme="minorEastAsia"/>
          <w:lang w:eastAsia="zh-Hans"/>
        </w:rPr>
      </w:pPr>
      <w:r>
        <w:rPr>
          <w:rFonts w:hint="eastAsia" w:asciiTheme="minorEastAsia" w:hAnsiTheme="minorEastAsia" w:eastAsiaTheme="minorEastAsia" w:cstheme="minorEastAsia"/>
          <w:lang w:eastAsia="zh-Hans"/>
        </w:rPr>
        <w:br w:type="page"/>
      </w:r>
    </w:p>
    <w:p w14:paraId="595F06D6">
      <w:pPr>
        <w:ind w:firstLine="560"/>
        <w:outlineLvl w:val="0"/>
        <w:rPr>
          <w:rFonts w:hint="eastAsia" w:asciiTheme="minorEastAsia" w:hAnsiTheme="minorEastAsia" w:eastAsiaTheme="minorEastAsia" w:cstheme="minorEastAsia"/>
          <w:lang w:eastAsia="zh-Hans"/>
        </w:rPr>
      </w:pPr>
      <w:bookmarkStart w:id="112" w:name="_Toc723115935"/>
      <w:bookmarkStart w:id="113" w:name="_Toc223006319"/>
      <w:r>
        <w:rPr>
          <w:rFonts w:hint="eastAsia" w:asciiTheme="minorEastAsia" w:hAnsiTheme="minorEastAsia" w:eastAsiaTheme="minorEastAsia" w:cstheme="minorEastAsia"/>
          <w:lang w:eastAsia="zh-Hans"/>
        </w:rPr>
        <w:t xml:space="preserve">附件 </w:t>
      </w:r>
      <w:r>
        <w:rPr>
          <w:rFonts w:hint="eastAsia" w:asciiTheme="minorEastAsia" w:hAnsiTheme="minorEastAsia" w:eastAsiaTheme="minorEastAsia" w:cstheme="minorEastAsia"/>
        </w:rPr>
        <w:t>7</w:t>
      </w:r>
      <w:r>
        <w:rPr>
          <w:rFonts w:hint="eastAsia" w:asciiTheme="minorEastAsia" w:hAnsiTheme="minorEastAsia" w:eastAsiaTheme="minorEastAsia" w:cstheme="minorEastAsia"/>
          <w:lang w:eastAsia="zh-Hans"/>
        </w:rPr>
        <w:t>：协议终止赔偿与终止补偿金额的计算</w:t>
      </w:r>
      <w:bookmarkEnd w:id="112"/>
      <w:bookmarkEnd w:id="113"/>
    </w:p>
    <w:p w14:paraId="2D96140A">
      <w:pPr>
        <w:pStyle w:val="2"/>
        <w:ind w:firstLine="360"/>
        <w:rPr>
          <w:rFonts w:hint="eastAsia" w:asciiTheme="minorEastAsia" w:hAnsiTheme="minorEastAsia" w:eastAsiaTheme="minorEastAsia" w:cstheme="minorEastAsia"/>
          <w:lang w:eastAsia="zh-Hans"/>
        </w:rPr>
      </w:pP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8"/>
        <w:gridCol w:w="5531"/>
        <w:gridCol w:w="1268"/>
        <w:gridCol w:w="1269"/>
      </w:tblGrid>
      <w:tr w14:paraId="46CEC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6" w:type="pct"/>
            <w:vMerge w:val="restart"/>
            <w:vAlign w:val="center"/>
          </w:tcPr>
          <w:p w14:paraId="718B845E">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条款号</w:t>
            </w:r>
          </w:p>
        </w:tc>
        <w:tc>
          <w:tcPr>
            <w:tcW w:w="2978" w:type="pct"/>
            <w:vMerge w:val="restart"/>
            <w:vAlign w:val="center"/>
          </w:tcPr>
          <w:p w14:paraId="106207F5">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本协议提前终止情形</w:t>
            </w:r>
          </w:p>
        </w:tc>
        <w:tc>
          <w:tcPr>
            <w:tcW w:w="1367" w:type="pct"/>
            <w:gridSpan w:val="2"/>
            <w:vAlign w:val="center"/>
          </w:tcPr>
          <w:p w14:paraId="1BD7F495">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终止补偿金</w:t>
            </w:r>
          </w:p>
        </w:tc>
      </w:tr>
      <w:tr w14:paraId="234BE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6" w:type="pct"/>
            <w:vMerge w:val="continue"/>
            <w:vAlign w:val="center"/>
          </w:tcPr>
          <w:p w14:paraId="051822C4">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p>
        </w:tc>
        <w:tc>
          <w:tcPr>
            <w:tcW w:w="2978" w:type="pct"/>
            <w:vMerge w:val="continue"/>
            <w:vAlign w:val="center"/>
          </w:tcPr>
          <w:p w14:paraId="09FA5C93">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p>
        </w:tc>
        <w:tc>
          <w:tcPr>
            <w:tcW w:w="683" w:type="pct"/>
            <w:vAlign w:val="center"/>
          </w:tcPr>
          <w:p w14:paraId="64BE1CB0">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建设期</w:t>
            </w:r>
          </w:p>
        </w:tc>
        <w:tc>
          <w:tcPr>
            <w:tcW w:w="683" w:type="pct"/>
            <w:vAlign w:val="center"/>
          </w:tcPr>
          <w:p w14:paraId="6C5F68FF">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运营期</w:t>
            </w:r>
          </w:p>
        </w:tc>
      </w:tr>
      <w:tr w14:paraId="6B55C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6" w:type="pct"/>
            <w:vAlign w:val="center"/>
          </w:tcPr>
          <w:p w14:paraId="332C2A7F">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18.2</w:t>
            </w:r>
          </w:p>
        </w:tc>
        <w:tc>
          <w:tcPr>
            <w:tcW w:w="2978" w:type="pct"/>
            <w:vAlign w:val="center"/>
          </w:tcPr>
          <w:p w14:paraId="40670914">
            <w:pPr>
              <w:widowControl/>
              <w:spacing w:line="300" w:lineRule="exact"/>
              <w:ind w:firstLine="0" w:firstLineChars="0"/>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第一类（政府违约）</w:t>
            </w:r>
          </w:p>
        </w:tc>
        <w:tc>
          <w:tcPr>
            <w:tcW w:w="683" w:type="pct"/>
            <w:vAlign w:val="center"/>
          </w:tcPr>
          <w:p w14:paraId="4BD40DEB">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A1*1.1</w:t>
            </w:r>
          </w:p>
        </w:tc>
        <w:tc>
          <w:tcPr>
            <w:tcW w:w="683" w:type="pct"/>
            <w:vAlign w:val="center"/>
          </w:tcPr>
          <w:p w14:paraId="2126DF6B">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A2*1.1</w:t>
            </w:r>
          </w:p>
        </w:tc>
      </w:tr>
      <w:tr w14:paraId="3A84C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6" w:type="pct"/>
            <w:vAlign w:val="center"/>
          </w:tcPr>
          <w:p w14:paraId="54B43E54">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18.3</w:t>
            </w:r>
          </w:p>
        </w:tc>
        <w:tc>
          <w:tcPr>
            <w:tcW w:w="2978" w:type="pct"/>
            <w:vAlign w:val="center"/>
          </w:tcPr>
          <w:p w14:paraId="21C8080A">
            <w:pPr>
              <w:widowControl/>
              <w:spacing w:line="300" w:lineRule="exact"/>
              <w:ind w:firstLine="0" w:firstLineChars="0"/>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第二类（政治不可抗力）</w:t>
            </w:r>
          </w:p>
        </w:tc>
        <w:tc>
          <w:tcPr>
            <w:tcW w:w="1367" w:type="pct"/>
            <w:gridSpan w:val="2"/>
            <w:vAlign w:val="center"/>
          </w:tcPr>
          <w:p w14:paraId="11E93436">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A3+B-D</w:t>
            </w:r>
          </w:p>
        </w:tc>
      </w:tr>
      <w:tr w14:paraId="68EC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6" w:type="pct"/>
            <w:vAlign w:val="center"/>
          </w:tcPr>
          <w:p w14:paraId="12E7133C">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18.4</w:t>
            </w:r>
          </w:p>
        </w:tc>
        <w:tc>
          <w:tcPr>
            <w:tcW w:w="2978" w:type="pct"/>
            <w:vAlign w:val="center"/>
          </w:tcPr>
          <w:p w14:paraId="45D99713">
            <w:pPr>
              <w:widowControl/>
              <w:spacing w:line="300" w:lineRule="exact"/>
              <w:ind w:firstLine="0" w:firstLineChars="0"/>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第三类（自然不可抗力、政策因素、公益原因）</w:t>
            </w:r>
          </w:p>
        </w:tc>
        <w:tc>
          <w:tcPr>
            <w:tcW w:w="1367" w:type="pct"/>
            <w:gridSpan w:val="2"/>
            <w:vAlign w:val="center"/>
          </w:tcPr>
          <w:p w14:paraId="4785892C">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A3+C/2-D</w:t>
            </w:r>
          </w:p>
        </w:tc>
      </w:tr>
      <w:tr w14:paraId="7CDDC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6" w:type="pct"/>
            <w:vAlign w:val="center"/>
          </w:tcPr>
          <w:p w14:paraId="4750E1B9">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18.5</w:t>
            </w:r>
          </w:p>
        </w:tc>
        <w:tc>
          <w:tcPr>
            <w:tcW w:w="2978" w:type="pct"/>
            <w:vAlign w:val="center"/>
          </w:tcPr>
          <w:p w14:paraId="04F053F2">
            <w:pPr>
              <w:widowControl/>
              <w:spacing w:line="300" w:lineRule="exact"/>
              <w:ind w:firstLine="0" w:firstLineChars="0"/>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第四类（合意终止）</w:t>
            </w:r>
          </w:p>
        </w:tc>
        <w:tc>
          <w:tcPr>
            <w:tcW w:w="1367" w:type="pct"/>
            <w:gridSpan w:val="2"/>
            <w:vAlign w:val="center"/>
          </w:tcPr>
          <w:p w14:paraId="12D1274F">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双方协商</w:t>
            </w:r>
          </w:p>
        </w:tc>
      </w:tr>
      <w:tr w14:paraId="1B899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6" w:type="pct"/>
            <w:vAlign w:val="center"/>
          </w:tcPr>
          <w:p w14:paraId="62CC7660">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18.6</w:t>
            </w:r>
          </w:p>
        </w:tc>
        <w:tc>
          <w:tcPr>
            <w:tcW w:w="2978" w:type="pct"/>
            <w:vAlign w:val="center"/>
          </w:tcPr>
          <w:p w14:paraId="58E63BAE">
            <w:pPr>
              <w:widowControl/>
              <w:spacing w:line="300" w:lineRule="exact"/>
              <w:ind w:firstLine="0" w:firstLineChars="0"/>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第五类（资源承接方违约）</w:t>
            </w:r>
          </w:p>
        </w:tc>
        <w:tc>
          <w:tcPr>
            <w:tcW w:w="683" w:type="pct"/>
            <w:vAlign w:val="center"/>
          </w:tcPr>
          <w:p w14:paraId="138C7741">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A1*0.8</w:t>
            </w:r>
          </w:p>
        </w:tc>
        <w:tc>
          <w:tcPr>
            <w:tcW w:w="683" w:type="pct"/>
            <w:vAlign w:val="center"/>
          </w:tcPr>
          <w:p w14:paraId="0EC7A174">
            <w:pPr>
              <w:widowControl/>
              <w:spacing w:line="300" w:lineRule="exact"/>
              <w:ind w:firstLine="0" w:firstLineChars="0"/>
              <w:jc w:val="center"/>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A2*0.8</w:t>
            </w:r>
          </w:p>
        </w:tc>
      </w:tr>
      <w:tr w14:paraId="4C48E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4"/>
            <w:vAlign w:val="center"/>
          </w:tcPr>
          <w:p w14:paraId="07C1E976">
            <w:pPr>
              <w:widowControl/>
              <w:spacing w:line="300" w:lineRule="exact"/>
              <w:ind w:firstLine="0" w:firstLineChars="0"/>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A1：是经审计的资源承接方实际发生的有关本项目的投资支出。</w:t>
            </w:r>
          </w:p>
          <w:p w14:paraId="35261342">
            <w:pPr>
              <w:widowControl/>
              <w:spacing w:line="300" w:lineRule="exact"/>
              <w:ind w:firstLine="0" w:firstLineChars="0"/>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A2:是资源承接方尚未收回的前期投资在提前终止当年的终值(折现率按当期LPR)。</w:t>
            </w:r>
          </w:p>
          <w:p w14:paraId="10BD9815">
            <w:pPr>
              <w:widowControl/>
              <w:spacing w:line="300" w:lineRule="exact"/>
              <w:ind w:firstLine="0" w:firstLineChars="0"/>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A3:为发生不可抗力事件时资源承接方经审计的，损失及保险赔偿入账后的账面资产净值。</w:t>
            </w:r>
          </w:p>
          <w:p w14:paraId="54800D95">
            <w:pPr>
              <w:widowControl/>
              <w:spacing w:line="300" w:lineRule="exact"/>
              <w:ind w:firstLine="0" w:firstLineChars="0"/>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B:是指资源承接方在本项目以下期间中之较短期间内预期净利润的现值:(a)五(5)年:(b)经营期的剩余期间。其中，预期净利润按本协议终止前三(3)年资源承接方在本项目中平均年净利润值预测</w:t>
            </w:r>
          </w:p>
          <w:p w14:paraId="4F95F08F">
            <w:pPr>
              <w:widowControl/>
              <w:spacing w:line="300" w:lineRule="exact"/>
              <w:ind w:firstLine="0" w:firstLineChars="0"/>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C:是指相关不可抗力事件造成的资源承接方净损失金额。</w:t>
            </w:r>
          </w:p>
          <w:p w14:paraId="463A7936">
            <w:pPr>
              <w:widowControl/>
              <w:spacing w:line="300" w:lineRule="exact"/>
              <w:ind w:firstLine="0" w:firstLineChars="0"/>
              <w:rPr>
                <w:rFonts w:hint="eastAsia" w:asciiTheme="minorEastAsia" w:hAnsiTheme="minorEastAsia" w:eastAsiaTheme="minorEastAsia" w:cstheme="minorEastAsia"/>
                <w:color w:val="000000"/>
                <w:kern w:val="0"/>
                <w:sz w:val="15"/>
                <w:szCs w:val="15"/>
              </w:rPr>
            </w:pPr>
            <w:r>
              <w:rPr>
                <w:rFonts w:hint="eastAsia" w:asciiTheme="minorEastAsia" w:hAnsiTheme="minorEastAsia" w:eastAsiaTheme="minorEastAsia" w:cstheme="minorEastAsia"/>
                <w:color w:val="000000"/>
                <w:kern w:val="0"/>
                <w:sz w:val="15"/>
                <w:szCs w:val="15"/>
              </w:rPr>
              <w:t>D:是指发生不可抗力事件时，因资源承接方投保不足，导致所获保险赔款无法使项目设施恢复到出险前的正常状态和价值的恢复性建设费用缺额部分。</w:t>
            </w:r>
          </w:p>
        </w:tc>
      </w:tr>
    </w:tbl>
    <w:p w14:paraId="251C9866">
      <w:pPr>
        <w:pStyle w:val="2"/>
        <w:ind w:firstLine="360"/>
        <w:rPr>
          <w:rFonts w:hint="eastAsia" w:asciiTheme="minorEastAsia" w:hAnsiTheme="minorEastAsia" w:eastAsiaTheme="minorEastAsia" w:cstheme="minorEastAsia"/>
          <w:lang w:eastAsia="zh-Hans"/>
        </w:rPr>
      </w:pPr>
    </w:p>
    <w:p w14:paraId="550F5666">
      <w:pPr>
        <w:pStyle w:val="2"/>
        <w:ind w:firstLine="360"/>
        <w:rPr>
          <w:rFonts w:hint="eastAsia" w:asciiTheme="minorEastAsia" w:hAnsiTheme="minorEastAsia" w:eastAsiaTheme="minorEastAsia" w:cstheme="minorEastAsia"/>
          <w:lang w:eastAsia="zh-Hans"/>
        </w:rPr>
      </w:pPr>
    </w:p>
    <w:p w14:paraId="48725C9F">
      <w:pPr>
        <w:ind w:firstLine="560"/>
        <w:rPr>
          <w:rFonts w:hint="eastAsia" w:asciiTheme="minorEastAsia" w:hAnsiTheme="minorEastAsia" w:eastAsiaTheme="minorEastAsia" w:cstheme="minorEastAsia"/>
        </w:rPr>
      </w:pPr>
      <w:bookmarkStart w:id="114" w:name="_Toc799561172"/>
      <w:r>
        <w:rPr>
          <w:rFonts w:hint="eastAsia" w:asciiTheme="minorEastAsia" w:hAnsiTheme="minorEastAsia" w:eastAsiaTheme="minorEastAsia" w:cstheme="minorEastAsia"/>
        </w:rPr>
        <w:br w:type="page"/>
      </w:r>
    </w:p>
    <w:p w14:paraId="5BA63B49">
      <w:pPr>
        <w:ind w:firstLine="0" w:firstLineChars="0"/>
        <w:outlineLvl w:val="0"/>
        <w:rPr>
          <w:rFonts w:hint="eastAsia" w:asciiTheme="minorEastAsia" w:hAnsiTheme="minorEastAsia" w:eastAsiaTheme="minorEastAsia" w:cstheme="minorEastAsia"/>
        </w:rPr>
      </w:pPr>
      <w:bookmarkStart w:id="115" w:name="_Toc223006320"/>
      <w:r>
        <w:rPr>
          <w:rFonts w:hint="eastAsia" w:asciiTheme="minorEastAsia" w:hAnsiTheme="minorEastAsia" w:eastAsiaTheme="minorEastAsia" w:cstheme="minorEastAsia"/>
        </w:rPr>
        <w:t>附件 8：风险分配基本框架表</w:t>
      </w:r>
      <w:bookmarkEnd w:id="114"/>
      <w:bookmarkEnd w:id="115"/>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
        <w:gridCol w:w="396"/>
        <w:gridCol w:w="1446"/>
        <w:gridCol w:w="5103"/>
        <w:gridCol w:w="851"/>
        <w:gridCol w:w="843"/>
      </w:tblGrid>
      <w:tr w14:paraId="385C7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gridSpan w:val="2"/>
            <w:vAlign w:val="center"/>
          </w:tcPr>
          <w:p w14:paraId="49A2A03F">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风险</w:t>
            </w:r>
          </w:p>
          <w:p w14:paraId="379C690D">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类别</w:t>
            </w:r>
          </w:p>
        </w:tc>
        <w:tc>
          <w:tcPr>
            <w:tcW w:w="1446" w:type="dxa"/>
            <w:vAlign w:val="center"/>
          </w:tcPr>
          <w:p w14:paraId="0676DD43">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风险因素</w:t>
            </w:r>
          </w:p>
        </w:tc>
        <w:tc>
          <w:tcPr>
            <w:tcW w:w="5103" w:type="dxa"/>
            <w:vAlign w:val="center"/>
          </w:tcPr>
          <w:p w14:paraId="1912F609">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风险描述</w:t>
            </w:r>
          </w:p>
        </w:tc>
        <w:tc>
          <w:tcPr>
            <w:tcW w:w="851" w:type="dxa"/>
            <w:vAlign w:val="center"/>
          </w:tcPr>
          <w:p w14:paraId="07756E92">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政府方</w:t>
            </w:r>
          </w:p>
        </w:tc>
        <w:tc>
          <w:tcPr>
            <w:tcW w:w="843" w:type="dxa"/>
            <w:vAlign w:val="center"/>
          </w:tcPr>
          <w:p w14:paraId="3F1F8C77">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资源承接方</w:t>
            </w:r>
          </w:p>
        </w:tc>
      </w:tr>
      <w:tr w14:paraId="5B167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restart"/>
            <w:vAlign w:val="center"/>
          </w:tcPr>
          <w:p w14:paraId="4E7E83AC">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微观层面</w:t>
            </w:r>
          </w:p>
        </w:tc>
        <w:tc>
          <w:tcPr>
            <w:tcW w:w="396" w:type="dxa"/>
            <w:vMerge w:val="restart"/>
            <w:vAlign w:val="center"/>
          </w:tcPr>
          <w:p w14:paraId="668E3573">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前期</w:t>
            </w:r>
          </w:p>
        </w:tc>
        <w:tc>
          <w:tcPr>
            <w:tcW w:w="1446" w:type="dxa"/>
            <w:vAlign w:val="center"/>
          </w:tcPr>
          <w:p w14:paraId="78A5600E">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政府决策</w:t>
            </w:r>
          </w:p>
        </w:tc>
        <w:tc>
          <w:tcPr>
            <w:tcW w:w="5103" w:type="dxa"/>
            <w:vAlign w:val="center"/>
          </w:tcPr>
          <w:p w14:paraId="7B62ECC6">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政府由于缺乏合作的运作经营和能力、前期准备不足和信息不对称等造成项目决策失误或过程冗长、混乱。</w:t>
            </w:r>
          </w:p>
        </w:tc>
        <w:tc>
          <w:tcPr>
            <w:tcW w:w="851" w:type="dxa"/>
            <w:vAlign w:val="center"/>
          </w:tcPr>
          <w:p w14:paraId="1D225328">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48DCD64F">
            <w:pPr>
              <w:pStyle w:val="2"/>
              <w:spacing w:line="240" w:lineRule="auto"/>
              <w:ind w:firstLine="0" w:firstLineChars="0"/>
              <w:jc w:val="center"/>
              <w:rPr>
                <w:rFonts w:hint="eastAsia" w:asciiTheme="minorEastAsia" w:hAnsiTheme="minorEastAsia" w:eastAsiaTheme="minorEastAsia" w:cstheme="minorEastAsia"/>
              </w:rPr>
            </w:pPr>
          </w:p>
        </w:tc>
      </w:tr>
      <w:tr w14:paraId="5AAA9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08088562">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49F1C157">
            <w:pPr>
              <w:pStyle w:val="2"/>
              <w:spacing w:line="240" w:lineRule="auto"/>
              <w:ind w:firstLine="0" w:firstLineChars="0"/>
              <w:jc w:val="center"/>
              <w:rPr>
                <w:rFonts w:hint="eastAsia" w:asciiTheme="minorEastAsia" w:hAnsiTheme="minorEastAsia" w:eastAsiaTheme="minorEastAsia" w:cstheme="minorEastAsia"/>
              </w:rPr>
            </w:pPr>
          </w:p>
        </w:tc>
        <w:tc>
          <w:tcPr>
            <w:tcW w:w="1446" w:type="dxa"/>
            <w:vAlign w:val="center"/>
          </w:tcPr>
          <w:p w14:paraId="5A92FE0C">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审批手续</w:t>
            </w:r>
          </w:p>
        </w:tc>
        <w:tc>
          <w:tcPr>
            <w:tcW w:w="5103" w:type="dxa"/>
            <w:vAlign w:val="center"/>
          </w:tcPr>
          <w:p w14:paraId="5428EB39">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项目所需的政府决策、行政审批手段无法办理或进程缓慢，导致进度延误，费用增加由政府方承担；由于施工许可证审批导致工程进度停滞，由资源承接方承担。</w:t>
            </w:r>
          </w:p>
        </w:tc>
        <w:tc>
          <w:tcPr>
            <w:tcW w:w="851" w:type="dxa"/>
            <w:vAlign w:val="center"/>
          </w:tcPr>
          <w:p w14:paraId="40D4D3E1">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3FD14757">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6F4D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5E7AB989">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252CAE70">
            <w:pPr>
              <w:pStyle w:val="2"/>
              <w:spacing w:line="240" w:lineRule="auto"/>
              <w:ind w:firstLine="0" w:firstLineChars="0"/>
              <w:jc w:val="center"/>
              <w:rPr>
                <w:rFonts w:hint="eastAsia" w:asciiTheme="minorEastAsia" w:hAnsiTheme="minorEastAsia" w:eastAsiaTheme="minorEastAsia" w:cstheme="minorEastAsia"/>
              </w:rPr>
            </w:pPr>
          </w:p>
        </w:tc>
        <w:tc>
          <w:tcPr>
            <w:tcW w:w="1446" w:type="dxa"/>
            <w:vAlign w:val="center"/>
          </w:tcPr>
          <w:p w14:paraId="3E2CC738">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政府方前期工作</w:t>
            </w:r>
          </w:p>
        </w:tc>
        <w:tc>
          <w:tcPr>
            <w:tcW w:w="5103" w:type="dxa"/>
            <w:vAlign w:val="center"/>
          </w:tcPr>
          <w:p w14:paraId="56E38297">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由政府负责的前期工作迟迟不能完成，导致工期延误。</w:t>
            </w:r>
          </w:p>
        </w:tc>
        <w:tc>
          <w:tcPr>
            <w:tcW w:w="851" w:type="dxa"/>
            <w:vAlign w:val="center"/>
          </w:tcPr>
          <w:p w14:paraId="7115AD20">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679F8F65">
            <w:pPr>
              <w:pStyle w:val="2"/>
              <w:spacing w:line="240" w:lineRule="auto"/>
              <w:ind w:firstLine="0" w:firstLineChars="0"/>
              <w:jc w:val="center"/>
              <w:rPr>
                <w:rFonts w:hint="eastAsia" w:asciiTheme="minorEastAsia" w:hAnsiTheme="minorEastAsia" w:eastAsiaTheme="minorEastAsia" w:cstheme="minorEastAsia"/>
              </w:rPr>
            </w:pPr>
          </w:p>
        </w:tc>
      </w:tr>
      <w:tr w14:paraId="3CACE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7A620E77">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1ED1E3A5">
            <w:pPr>
              <w:pStyle w:val="2"/>
              <w:spacing w:line="240" w:lineRule="auto"/>
              <w:ind w:firstLine="0" w:firstLineChars="0"/>
              <w:jc w:val="center"/>
              <w:rPr>
                <w:rFonts w:hint="eastAsia" w:asciiTheme="minorEastAsia" w:hAnsiTheme="minorEastAsia" w:eastAsiaTheme="minorEastAsia" w:cstheme="minorEastAsia"/>
              </w:rPr>
            </w:pPr>
          </w:p>
        </w:tc>
        <w:tc>
          <w:tcPr>
            <w:tcW w:w="1446" w:type="dxa"/>
            <w:vAlign w:val="center"/>
          </w:tcPr>
          <w:p w14:paraId="7516E085">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土地获取</w:t>
            </w:r>
          </w:p>
        </w:tc>
        <w:tc>
          <w:tcPr>
            <w:tcW w:w="5103" w:type="dxa"/>
            <w:vAlign w:val="center"/>
          </w:tcPr>
          <w:p w14:paraId="09B03546">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用地不符合规划或相关规定，无法及时取得用地制标或批复。</w:t>
            </w:r>
          </w:p>
        </w:tc>
        <w:tc>
          <w:tcPr>
            <w:tcW w:w="851" w:type="dxa"/>
            <w:vAlign w:val="center"/>
          </w:tcPr>
          <w:p w14:paraId="47F861B9">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1EC9BEE4">
            <w:pPr>
              <w:pStyle w:val="2"/>
              <w:spacing w:line="240" w:lineRule="auto"/>
              <w:ind w:firstLine="0" w:firstLineChars="0"/>
              <w:jc w:val="center"/>
              <w:rPr>
                <w:rFonts w:hint="eastAsia" w:asciiTheme="minorEastAsia" w:hAnsiTheme="minorEastAsia" w:eastAsiaTheme="minorEastAsia" w:cstheme="minorEastAsia"/>
              </w:rPr>
            </w:pPr>
          </w:p>
        </w:tc>
      </w:tr>
      <w:tr w14:paraId="0F932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50D90955">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3147ED67">
            <w:pPr>
              <w:pStyle w:val="2"/>
              <w:spacing w:line="240" w:lineRule="auto"/>
              <w:ind w:firstLine="0" w:firstLineChars="0"/>
              <w:jc w:val="center"/>
              <w:rPr>
                <w:rFonts w:hint="eastAsia" w:asciiTheme="minorEastAsia" w:hAnsiTheme="minorEastAsia" w:eastAsiaTheme="minorEastAsia" w:cstheme="minorEastAsia"/>
              </w:rPr>
            </w:pPr>
          </w:p>
        </w:tc>
        <w:tc>
          <w:tcPr>
            <w:tcW w:w="1446" w:type="dxa"/>
            <w:vAlign w:val="center"/>
          </w:tcPr>
          <w:p w14:paraId="2F6B54FF">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项目资本金</w:t>
            </w:r>
          </w:p>
        </w:tc>
        <w:tc>
          <w:tcPr>
            <w:tcW w:w="5103" w:type="dxa"/>
            <w:vAlign w:val="center"/>
          </w:tcPr>
          <w:p w14:paraId="43A8868A">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资源承接方不能按时，足额将资本金出资到位。</w:t>
            </w:r>
          </w:p>
        </w:tc>
        <w:tc>
          <w:tcPr>
            <w:tcW w:w="851" w:type="dxa"/>
            <w:vAlign w:val="center"/>
          </w:tcPr>
          <w:p w14:paraId="333E360C">
            <w:pPr>
              <w:pStyle w:val="2"/>
              <w:spacing w:line="240" w:lineRule="auto"/>
              <w:ind w:firstLine="0" w:firstLineChars="0"/>
              <w:jc w:val="center"/>
              <w:rPr>
                <w:rFonts w:hint="eastAsia" w:asciiTheme="minorEastAsia" w:hAnsiTheme="minorEastAsia" w:eastAsiaTheme="minorEastAsia" w:cstheme="minorEastAsia"/>
              </w:rPr>
            </w:pPr>
          </w:p>
        </w:tc>
        <w:tc>
          <w:tcPr>
            <w:tcW w:w="843" w:type="dxa"/>
            <w:vAlign w:val="center"/>
          </w:tcPr>
          <w:p w14:paraId="74AC42FF">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7ABE3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4AF95DD3">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restart"/>
            <w:vAlign w:val="center"/>
          </w:tcPr>
          <w:p w14:paraId="5B914FBA">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运营</w:t>
            </w:r>
          </w:p>
        </w:tc>
        <w:tc>
          <w:tcPr>
            <w:tcW w:w="1446" w:type="dxa"/>
            <w:vAlign w:val="center"/>
          </w:tcPr>
          <w:p w14:paraId="70AC77DF">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收费价格变化</w:t>
            </w:r>
          </w:p>
        </w:tc>
        <w:tc>
          <w:tcPr>
            <w:tcW w:w="5103" w:type="dxa"/>
            <w:vAlign w:val="center"/>
          </w:tcPr>
          <w:p w14:paraId="237F9608">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因政府方规划、社会公益需求等原因导致项目收费降格调整。</w:t>
            </w:r>
          </w:p>
        </w:tc>
        <w:tc>
          <w:tcPr>
            <w:tcW w:w="851" w:type="dxa"/>
            <w:vAlign w:val="center"/>
          </w:tcPr>
          <w:p w14:paraId="70AB79A9">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7D67308B">
            <w:pPr>
              <w:pStyle w:val="2"/>
              <w:spacing w:line="240" w:lineRule="auto"/>
              <w:ind w:firstLine="0" w:firstLineChars="0"/>
              <w:jc w:val="center"/>
              <w:rPr>
                <w:rFonts w:hint="eastAsia" w:asciiTheme="minorEastAsia" w:hAnsiTheme="minorEastAsia" w:eastAsiaTheme="minorEastAsia" w:cstheme="minorEastAsia"/>
              </w:rPr>
            </w:pPr>
          </w:p>
        </w:tc>
      </w:tr>
      <w:tr w14:paraId="65BD6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6D677AEA">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35E3513A">
            <w:pPr>
              <w:pStyle w:val="2"/>
              <w:spacing w:line="240" w:lineRule="auto"/>
              <w:ind w:firstLine="0" w:firstLineChars="0"/>
              <w:jc w:val="center"/>
              <w:rPr>
                <w:rFonts w:hint="eastAsia" w:asciiTheme="minorEastAsia" w:hAnsiTheme="minorEastAsia" w:eastAsiaTheme="minorEastAsia" w:cstheme="minorEastAsia"/>
              </w:rPr>
            </w:pPr>
          </w:p>
        </w:tc>
        <w:tc>
          <w:tcPr>
            <w:tcW w:w="1446" w:type="dxa"/>
            <w:vAlign w:val="center"/>
          </w:tcPr>
          <w:p w14:paraId="6CAFFF66">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经营权转让期限风险</w:t>
            </w:r>
          </w:p>
        </w:tc>
        <w:tc>
          <w:tcPr>
            <w:tcW w:w="5103" w:type="dxa"/>
            <w:vAlign w:val="center"/>
          </w:tcPr>
          <w:p w14:paraId="36E5EA62">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政府方应按照合作协议约定按存量车位的经营权移交给资源承接方，未按期移交导致收入不足的风险由政府方承担。</w:t>
            </w:r>
          </w:p>
        </w:tc>
        <w:tc>
          <w:tcPr>
            <w:tcW w:w="851" w:type="dxa"/>
            <w:vAlign w:val="center"/>
          </w:tcPr>
          <w:p w14:paraId="2D5D9508">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7A2B2F2A">
            <w:pPr>
              <w:pStyle w:val="2"/>
              <w:spacing w:line="240" w:lineRule="auto"/>
              <w:ind w:firstLine="0" w:firstLineChars="0"/>
              <w:jc w:val="center"/>
              <w:rPr>
                <w:rFonts w:hint="eastAsia" w:asciiTheme="minorEastAsia" w:hAnsiTheme="minorEastAsia" w:eastAsiaTheme="minorEastAsia" w:cstheme="minorEastAsia"/>
              </w:rPr>
            </w:pPr>
          </w:p>
        </w:tc>
      </w:tr>
      <w:tr w14:paraId="042C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2E3C56D6">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5BDC2C0D">
            <w:pPr>
              <w:pStyle w:val="2"/>
              <w:spacing w:line="240" w:lineRule="auto"/>
              <w:ind w:firstLine="0" w:firstLineChars="0"/>
              <w:jc w:val="center"/>
              <w:rPr>
                <w:rFonts w:hint="eastAsia" w:asciiTheme="minorEastAsia" w:hAnsiTheme="minorEastAsia" w:eastAsiaTheme="minorEastAsia" w:cstheme="minorEastAsia"/>
              </w:rPr>
            </w:pPr>
          </w:p>
        </w:tc>
        <w:tc>
          <w:tcPr>
            <w:tcW w:w="1446" w:type="dxa"/>
            <w:vAlign w:val="center"/>
          </w:tcPr>
          <w:p w14:paraId="2892E689">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运营服务质量风险</w:t>
            </w:r>
          </w:p>
        </w:tc>
        <w:tc>
          <w:tcPr>
            <w:tcW w:w="5103" w:type="dxa"/>
            <w:vAlign w:val="center"/>
          </w:tcPr>
          <w:p w14:paraId="26A2DA42">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因运营方自身原因导致运营服务质量差，项目收益不足。</w:t>
            </w:r>
          </w:p>
        </w:tc>
        <w:tc>
          <w:tcPr>
            <w:tcW w:w="851" w:type="dxa"/>
            <w:vAlign w:val="center"/>
          </w:tcPr>
          <w:p w14:paraId="509BCA33">
            <w:pPr>
              <w:pStyle w:val="2"/>
              <w:spacing w:line="240" w:lineRule="auto"/>
              <w:ind w:firstLine="0" w:firstLineChars="0"/>
              <w:jc w:val="center"/>
              <w:rPr>
                <w:rFonts w:hint="eastAsia" w:asciiTheme="minorEastAsia" w:hAnsiTheme="minorEastAsia" w:eastAsiaTheme="minorEastAsia" w:cstheme="minorEastAsia"/>
              </w:rPr>
            </w:pPr>
          </w:p>
        </w:tc>
        <w:tc>
          <w:tcPr>
            <w:tcW w:w="843" w:type="dxa"/>
            <w:vAlign w:val="center"/>
          </w:tcPr>
          <w:p w14:paraId="03A8F786">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035E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3A31ECE5">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2859DC18">
            <w:pPr>
              <w:pStyle w:val="2"/>
              <w:spacing w:line="240" w:lineRule="auto"/>
              <w:ind w:firstLine="0" w:firstLineChars="0"/>
              <w:jc w:val="center"/>
              <w:rPr>
                <w:rFonts w:hint="eastAsia" w:asciiTheme="minorEastAsia" w:hAnsiTheme="minorEastAsia" w:eastAsiaTheme="minorEastAsia" w:cstheme="minorEastAsia"/>
              </w:rPr>
            </w:pPr>
          </w:p>
        </w:tc>
        <w:tc>
          <w:tcPr>
            <w:tcW w:w="1446" w:type="dxa"/>
            <w:vAlign w:val="center"/>
          </w:tcPr>
          <w:p w14:paraId="1A5D4276">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设施可用性</w:t>
            </w:r>
          </w:p>
        </w:tc>
        <w:tc>
          <w:tcPr>
            <w:tcW w:w="5103" w:type="dxa"/>
            <w:vAlign w:val="center"/>
          </w:tcPr>
          <w:p w14:paraId="06CB761F">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维护过程中设施设备维护不力，关键设备故障维修不及时，影响项目正常运营。</w:t>
            </w:r>
          </w:p>
        </w:tc>
        <w:tc>
          <w:tcPr>
            <w:tcW w:w="851" w:type="dxa"/>
            <w:vAlign w:val="center"/>
          </w:tcPr>
          <w:p w14:paraId="467F4127">
            <w:pPr>
              <w:pStyle w:val="2"/>
              <w:spacing w:line="240" w:lineRule="auto"/>
              <w:ind w:firstLine="0" w:firstLineChars="0"/>
              <w:jc w:val="center"/>
              <w:rPr>
                <w:rFonts w:hint="eastAsia" w:asciiTheme="minorEastAsia" w:hAnsiTheme="minorEastAsia" w:eastAsiaTheme="minorEastAsia" w:cstheme="minorEastAsia"/>
              </w:rPr>
            </w:pPr>
          </w:p>
        </w:tc>
        <w:tc>
          <w:tcPr>
            <w:tcW w:w="843" w:type="dxa"/>
            <w:vAlign w:val="center"/>
          </w:tcPr>
          <w:p w14:paraId="1AF3505C">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17F34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5DA38179">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64AAFA49">
            <w:pPr>
              <w:pStyle w:val="2"/>
              <w:spacing w:line="240" w:lineRule="auto"/>
              <w:ind w:firstLine="0" w:firstLineChars="0"/>
              <w:jc w:val="center"/>
              <w:rPr>
                <w:rFonts w:hint="eastAsia" w:asciiTheme="minorEastAsia" w:hAnsiTheme="minorEastAsia" w:eastAsiaTheme="minorEastAsia" w:cstheme="minorEastAsia"/>
              </w:rPr>
            </w:pPr>
          </w:p>
        </w:tc>
        <w:tc>
          <w:tcPr>
            <w:tcW w:w="1446" w:type="dxa"/>
            <w:vAlign w:val="center"/>
          </w:tcPr>
          <w:p w14:paraId="0E50C1FA">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运营维护成本</w:t>
            </w:r>
          </w:p>
        </w:tc>
        <w:tc>
          <w:tcPr>
            <w:tcW w:w="5103" w:type="dxa"/>
            <w:vAlign w:val="center"/>
          </w:tcPr>
          <w:p w14:paraId="4B2E462C">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运营维护过程中因运营方自身管理原因造成运营维护成本居高不下。</w:t>
            </w:r>
          </w:p>
        </w:tc>
        <w:tc>
          <w:tcPr>
            <w:tcW w:w="851" w:type="dxa"/>
            <w:vAlign w:val="center"/>
          </w:tcPr>
          <w:p w14:paraId="4946E239">
            <w:pPr>
              <w:pStyle w:val="2"/>
              <w:spacing w:line="240" w:lineRule="auto"/>
              <w:ind w:firstLine="0" w:firstLineChars="0"/>
              <w:jc w:val="center"/>
              <w:rPr>
                <w:rFonts w:hint="eastAsia" w:asciiTheme="minorEastAsia" w:hAnsiTheme="minorEastAsia" w:eastAsiaTheme="minorEastAsia" w:cstheme="minorEastAsia"/>
              </w:rPr>
            </w:pPr>
          </w:p>
        </w:tc>
        <w:tc>
          <w:tcPr>
            <w:tcW w:w="843" w:type="dxa"/>
            <w:vAlign w:val="center"/>
          </w:tcPr>
          <w:p w14:paraId="3F616F30">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30DF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090E69B4">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08F9E520">
            <w:pPr>
              <w:pStyle w:val="2"/>
              <w:spacing w:line="240" w:lineRule="auto"/>
              <w:ind w:firstLine="0" w:firstLineChars="0"/>
              <w:jc w:val="center"/>
              <w:rPr>
                <w:rFonts w:hint="eastAsia" w:asciiTheme="minorEastAsia" w:hAnsiTheme="minorEastAsia" w:eastAsiaTheme="minorEastAsia" w:cstheme="minorEastAsia"/>
              </w:rPr>
            </w:pPr>
          </w:p>
        </w:tc>
        <w:tc>
          <w:tcPr>
            <w:tcW w:w="1446" w:type="dxa"/>
            <w:vAlign w:val="center"/>
          </w:tcPr>
          <w:p w14:paraId="75D7C215">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运营管理</w:t>
            </w:r>
          </w:p>
        </w:tc>
        <w:tc>
          <w:tcPr>
            <w:tcW w:w="5103" w:type="dxa"/>
            <w:vAlign w:val="center"/>
          </w:tcPr>
          <w:p w14:paraId="713D8814">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运营管理能力不足，内部组织混乱、沟通协调困难，影响正常运营。</w:t>
            </w:r>
          </w:p>
        </w:tc>
        <w:tc>
          <w:tcPr>
            <w:tcW w:w="851" w:type="dxa"/>
            <w:vAlign w:val="center"/>
          </w:tcPr>
          <w:p w14:paraId="609A4932">
            <w:pPr>
              <w:pStyle w:val="2"/>
              <w:spacing w:line="240" w:lineRule="auto"/>
              <w:ind w:firstLine="0" w:firstLineChars="0"/>
              <w:jc w:val="center"/>
              <w:rPr>
                <w:rFonts w:hint="eastAsia" w:asciiTheme="minorEastAsia" w:hAnsiTheme="minorEastAsia" w:eastAsiaTheme="minorEastAsia" w:cstheme="minorEastAsia"/>
              </w:rPr>
            </w:pPr>
          </w:p>
        </w:tc>
        <w:tc>
          <w:tcPr>
            <w:tcW w:w="843" w:type="dxa"/>
            <w:vAlign w:val="center"/>
          </w:tcPr>
          <w:p w14:paraId="19F6EC97">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4C9B2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7BC6D8EA">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167C7ECC">
            <w:pPr>
              <w:pStyle w:val="2"/>
              <w:spacing w:line="240" w:lineRule="auto"/>
              <w:ind w:firstLine="0" w:firstLineChars="0"/>
              <w:jc w:val="center"/>
              <w:rPr>
                <w:rFonts w:hint="eastAsia" w:asciiTheme="minorEastAsia" w:hAnsiTheme="minorEastAsia" w:eastAsiaTheme="minorEastAsia" w:cstheme="minorEastAsia"/>
              </w:rPr>
            </w:pPr>
          </w:p>
        </w:tc>
        <w:tc>
          <w:tcPr>
            <w:tcW w:w="1446" w:type="dxa"/>
            <w:vAlign w:val="center"/>
          </w:tcPr>
          <w:p w14:paraId="41192044">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重大事项决策</w:t>
            </w:r>
          </w:p>
        </w:tc>
        <w:tc>
          <w:tcPr>
            <w:tcW w:w="5103" w:type="dxa"/>
            <w:vAlign w:val="center"/>
          </w:tcPr>
          <w:p w14:paraId="7BF7A777">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运营方未经批准擅自进行权利转让、资产处置、增资减资、关联交易等重大事项；破产清算解散。</w:t>
            </w:r>
          </w:p>
        </w:tc>
        <w:tc>
          <w:tcPr>
            <w:tcW w:w="851" w:type="dxa"/>
            <w:vAlign w:val="center"/>
          </w:tcPr>
          <w:p w14:paraId="66E08D78">
            <w:pPr>
              <w:pStyle w:val="2"/>
              <w:spacing w:line="240" w:lineRule="auto"/>
              <w:ind w:firstLine="0" w:firstLineChars="0"/>
              <w:jc w:val="center"/>
              <w:rPr>
                <w:rFonts w:hint="eastAsia" w:asciiTheme="minorEastAsia" w:hAnsiTheme="minorEastAsia" w:eastAsiaTheme="minorEastAsia" w:cstheme="minorEastAsia"/>
              </w:rPr>
            </w:pPr>
          </w:p>
        </w:tc>
        <w:tc>
          <w:tcPr>
            <w:tcW w:w="843" w:type="dxa"/>
            <w:vAlign w:val="center"/>
          </w:tcPr>
          <w:p w14:paraId="4FA01D91">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4A078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788862F0">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restart"/>
            <w:vAlign w:val="center"/>
          </w:tcPr>
          <w:p w14:paraId="234884BB">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移交</w:t>
            </w:r>
          </w:p>
        </w:tc>
        <w:tc>
          <w:tcPr>
            <w:tcW w:w="1446" w:type="dxa"/>
            <w:vMerge w:val="restart"/>
            <w:vAlign w:val="center"/>
          </w:tcPr>
          <w:p w14:paraId="3018B102">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移交进度</w:t>
            </w:r>
          </w:p>
        </w:tc>
        <w:tc>
          <w:tcPr>
            <w:tcW w:w="5103" w:type="dxa"/>
            <w:vAlign w:val="center"/>
          </w:tcPr>
          <w:p w14:paraId="3E4B609C">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因政府方原因导致项目设施迟迟无法完成移交。</w:t>
            </w:r>
          </w:p>
        </w:tc>
        <w:tc>
          <w:tcPr>
            <w:tcW w:w="851" w:type="dxa"/>
            <w:vAlign w:val="center"/>
          </w:tcPr>
          <w:p w14:paraId="6CC61411">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05FCB063">
            <w:pPr>
              <w:pStyle w:val="2"/>
              <w:spacing w:line="240" w:lineRule="auto"/>
              <w:ind w:firstLine="0" w:firstLineChars="0"/>
              <w:jc w:val="center"/>
              <w:rPr>
                <w:rFonts w:hint="eastAsia" w:asciiTheme="minorEastAsia" w:hAnsiTheme="minorEastAsia" w:eastAsiaTheme="minorEastAsia" w:cstheme="minorEastAsia"/>
              </w:rPr>
            </w:pPr>
          </w:p>
        </w:tc>
      </w:tr>
      <w:tr w14:paraId="1313D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1D1826B9">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42924EEA">
            <w:pPr>
              <w:pStyle w:val="2"/>
              <w:spacing w:line="240" w:lineRule="auto"/>
              <w:ind w:firstLine="0" w:firstLineChars="0"/>
              <w:jc w:val="center"/>
              <w:rPr>
                <w:rFonts w:hint="eastAsia" w:asciiTheme="minorEastAsia" w:hAnsiTheme="minorEastAsia" w:eastAsiaTheme="minorEastAsia" w:cstheme="minorEastAsia"/>
              </w:rPr>
            </w:pPr>
          </w:p>
        </w:tc>
        <w:tc>
          <w:tcPr>
            <w:tcW w:w="1446" w:type="dxa"/>
            <w:vMerge w:val="continue"/>
            <w:vAlign w:val="center"/>
          </w:tcPr>
          <w:p w14:paraId="01EA3A55">
            <w:pPr>
              <w:pStyle w:val="2"/>
              <w:spacing w:line="240" w:lineRule="auto"/>
              <w:ind w:firstLine="0" w:firstLineChars="0"/>
              <w:jc w:val="center"/>
              <w:rPr>
                <w:rFonts w:hint="eastAsia" w:asciiTheme="minorEastAsia" w:hAnsiTheme="minorEastAsia" w:eastAsiaTheme="minorEastAsia" w:cstheme="minorEastAsia"/>
              </w:rPr>
            </w:pPr>
          </w:p>
        </w:tc>
        <w:tc>
          <w:tcPr>
            <w:tcW w:w="5103" w:type="dxa"/>
            <w:vAlign w:val="center"/>
          </w:tcPr>
          <w:p w14:paraId="11CC81C2">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因资源承接方或第三方原因导致项目设施迟迟无法完成移交。</w:t>
            </w:r>
          </w:p>
        </w:tc>
        <w:tc>
          <w:tcPr>
            <w:tcW w:w="851" w:type="dxa"/>
            <w:vAlign w:val="center"/>
          </w:tcPr>
          <w:p w14:paraId="6D9AAFC4">
            <w:pPr>
              <w:pStyle w:val="2"/>
              <w:spacing w:line="240" w:lineRule="auto"/>
              <w:ind w:firstLine="0" w:firstLineChars="0"/>
              <w:jc w:val="center"/>
              <w:rPr>
                <w:rFonts w:hint="eastAsia" w:asciiTheme="minorEastAsia" w:hAnsiTheme="minorEastAsia" w:eastAsiaTheme="minorEastAsia" w:cstheme="minorEastAsia"/>
              </w:rPr>
            </w:pPr>
          </w:p>
        </w:tc>
        <w:tc>
          <w:tcPr>
            <w:tcW w:w="843" w:type="dxa"/>
            <w:vAlign w:val="center"/>
          </w:tcPr>
          <w:p w14:paraId="6255DD33">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44031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7B079978">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6D978E3F">
            <w:pPr>
              <w:pStyle w:val="2"/>
              <w:spacing w:line="240" w:lineRule="auto"/>
              <w:ind w:firstLine="0" w:firstLineChars="0"/>
              <w:jc w:val="center"/>
              <w:rPr>
                <w:rFonts w:hint="eastAsia" w:asciiTheme="minorEastAsia" w:hAnsiTheme="minorEastAsia" w:eastAsiaTheme="minorEastAsia" w:cstheme="minorEastAsia"/>
              </w:rPr>
            </w:pPr>
          </w:p>
        </w:tc>
        <w:tc>
          <w:tcPr>
            <w:tcW w:w="1446" w:type="dxa"/>
            <w:vMerge w:val="restart"/>
            <w:vAlign w:val="center"/>
          </w:tcPr>
          <w:p w14:paraId="6A38F840">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移交组织管理</w:t>
            </w:r>
          </w:p>
        </w:tc>
        <w:tc>
          <w:tcPr>
            <w:tcW w:w="5103" w:type="dxa"/>
            <w:vAlign w:val="center"/>
          </w:tcPr>
          <w:p w14:paraId="2698A8B6">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期满移交时，政府方未有效组织开展移交工作，未制定移交方案和明确移交标准。</w:t>
            </w:r>
          </w:p>
        </w:tc>
        <w:tc>
          <w:tcPr>
            <w:tcW w:w="851" w:type="dxa"/>
            <w:vAlign w:val="center"/>
          </w:tcPr>
          <w:p w14:paraId="498D1274">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4409B8CB">
            <w:pPr>
              <w:pStyle w:val="2"/>
              <w:spacing w:line="240" w:lineRule="auto"/>
              <w:ind w:firstLine="0" w:firstLineChars="0"/>
              <w:jc w:val="center"/>
              <w:rPr>
                <w:rFonts w:hint="eastAsia" w:asciiTheme="minorEastAsia" w:hAnsiTheme="minorEastAsia" w:eastAsiaTheme="minorEastAsia" w:cstheme="minorEastAsia"/>
              </w:rPr>
            </w:pPr>
          </w:p>
        </w:tc>
      </w:tr>
      <w:tr w14:paraId="5FC6D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73ED6310">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74FE6302">
            <w:pPr>
              <w:pStyle w:val="2"/>
              <w:spacing w:line="240" w:lineRule="auto"/>
              <w:ind w:firstLine="0" w:firstLineChars="0"/>
              <w:jc w:val="center"/>
              <w:rPr>
                <w:rFonts w:hint="eastAsia" w:asciiTheme="minorEastAsia" w:hAnsiTheme="minorEastAsia" w:eastAsiaTheme="minorEastAsia" w:cstheme="minorEastAsia"/>
              </w:rPr>
            </w:pPr>
          </w:p>
        </w:tc>
        <w:tc>
          <w:tcPr>
            <w:tcW w:w="1446" w:type="dxa"/>
            <w:vMerge w:val="continue"/>
            <w:vAlign w:val="center"/>
          </w:tcPr>
          <w:p w14:paraId="5E2929DA">
            <w:pPr>
              <w:pStyle w:val="2"/>
              <w:spacing w:line="240" w:lineRule="auto"/>
              <w:ind w:firstLine="0" w:firstLineChars="0"/>
              <w:jc w:val="center"/>
              <w:rPr>
                <w:rFonts w:hint="eastAsia" w:asciiTheme="minorEastAsia" w:hAnsiTheme="minorEastAsia" w:eastAsiaTheme="minorEastAsia" w:cstheme="minorEastAsia"/>
              </w:rPr>
            </w:pPr>
          </w:p>
        </w:tc>
        <w:tc>
          <w:tcPr>
            <w:tcW w:w="5103" w:type="dxa"/>
            <w:vAlign w:val="center"/>
          </w:tcPr>
          <w:p w14:paraId="6C378036">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期满移交时，资源承接方无人配合或组织管理混乱，增加了移交成本和难度。</w:t>
            </w:r>
          </w:p>
        </w:tc>
        <w:tc>
          <w:tcPr>
            <w:tcW w:w="851" w:type="dxa"/>
            <w:vAlign w:val="center"/>
          </w:tcPr>
          <w:p w14:paraId="283E86AA">
            <w:pPr>
              <w:pStyle w:val="2"/>
              <w:spacing w:line="240" w:lineRule="auto"/>
              <w:ind w:firstLine="0" w:firstLineChars="0"/>
              <w:jc w:val="center"/>
              <w:rPr>
                <w:rFonts w:hint="eastAsia" w:asciiTheme="minorEastAsia" w:hAnsiTheme="minorEastAsia" w:eastAsiaTheme="minorEastAsia" w:cstheme="minorEastAsia"/>
              </w:rPr>
            </w:pPr>
          </w:p>
        </w:tc>
        <w:tc>
          <w:tcPr>
            <w:tcW w:w="843" w:type="dxa"/>
            <w:vAlign w:val="center"/>
          </w:tcPr>
          <w:p w14:paraId="01C0E2BB">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14174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6961580D">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567BCF0D">
            <w:pPr>
              <w:pStyle w:val="2"/>
              <w:spacing w:line="240" w:lineRule="auto"/>
              <w:ind w:firstLine="0" w:firstLineChars="0"/>
              <w:jc w:val="center"/>
              <w:rPr>
                <w:rFonts w:hint="eastAsia" w:asciiTheme="minorEastAsia" w:hAnsiTheme="minorEastAsia" w:eastAsiaTheme="minorEastAsia" w:cstheme="minorEastAsia"/>
              </w:rPr>
            </w:pPr>
          </w:p>
        </w:tc>
        <w:tc>
          <w:tcPr>
            <w:tcW w:w="1446" w:type="dxa"/>
            <w:vAlign w:val="center"/>
          </w:tcPr>
          <w:p w14:paraId="66C307E0">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移交质量</w:t>
            </w:r>
          </w:p>
        </w:tc>
        <w:tc>
          <w:tcPr>
            <w:tcW w:w="5103" w:type="dxa"/>
            <w:vAlign w:val="center"/>
          </w:tcPr>
          <w:p w14:paraId="63121AA1">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期满移交时，项目设施无法满足移交要求，影响后续运营。</w:t>
            </w:r>
          </w:p>
        </w:tc>
        <w:tc>
          <w:tcPr>
            <w:tcW w:w="851" w:type="dxa"/>
            <w:vAlign w:val="center"/>
          </w:tcPr>
          <w:p w14:paraId="48946ECD">
            <w:pPr>
              <w:pStyle w:val="2"/>
              <w:spacing w:line="240" w:lineRule="auto"/>
              <w:ind w:firstLine="0" w:firstLineChars="0"/>
              <w:jc w:val="center"/>
              <w:rPr>
                <w:rFonts w:hint="eastAsia" w:asciiTheme="minorEastAsia" w:hAnsiTheme="minorEastAsia" w:eastAsiaTheme="minorEastAsia" w:cstheme="minorEastAsia"/>
              </w:rPr>
            </w:pPr>
          </w:p>
        </w:tc>
        <w:tc>
          <w:tcPr>
            <w:tcW w:w="843" w:type="dxa"/>
            <w:vAlign w:val="center"/>
          </w:tcPr>
          <w:p w14:paraId="016B7FED">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5EDB2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5BC74FEF">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085259F5">
            <w:pPr>
              <w:pStyle w:val="2"/>
              <w:spacing w:line="240" w:lineRule="auto"/>
              <w:ind w:firstLine="0" w:firstLineChars="0"/>
              <w:jc w:val="center"/>
              <w:rPr>
                <w:rFonts w:hint="eastAsia" w:asciiTheme="minorEastAsia" w:hAnsiTheme="minorEastAsia" w:eastAsiaTheme="minorEastAsia" w:cstheme="minorEastAsia"/>
              </w:rPr>
            </w:pPr>
          </w:p>
        </w:tc>
        <w:tc>
          <w:tcPr>
            <w:tcW w:w="1446" w:type="dxa"/>
            <w:vAlign w:val="center"/>
          </w:tcPr>
          <w:p w14:paraId="5A51CACB">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设施权属</w:t>
            </w:r>
          </w:p>
        </w:tc>
        <w:tc>
          <w:tcPr>
            <w:tcW w:w="5103" w:type="dxa"/>
            <w:vAlign w:val="center"/>
          </w:tcPr>
          <w:p w14:paraId="0EDDAFD5">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期满移交时，项目设施设备的权属不清存在法律纠纷。</w:t>
            </w:r>
          </w:p>
        </w:tc>
        <w:tc>
          <w:tcPr>
            <w:tcW w:w="851" w:type="dxa"/>
            <w:vAlign w:val="center"/>
          </w:tcPr>
          <w:p w14:paraId="69AF28F0">
            <w:pPr>
              <w:pStyle w:val="2"/>
              <w:spacing w:line="240" w:lineRule="auto"/>
              <w:ind w:firstLine="0" w:firstLineChars="0"/>
              <w:jc w:val="center"/>
              <w:rPr>
                <w:rFonts w:hint="eastAsia" w:asciiTheme="minorEastAsia" w:hAnsiTheme="minorEastAsia" w:eastAsiaTheme="minorEastAsia" w:cstheme="minorEastAsia"/>
              </w:rPr>
            </w:pPr>
          </w:p>
        </w:tc>
        <w:tc>
          <w:tcPr>
            <w:tcW w:w="843" w:type="dxa"/>
            <w:vAlign w:val="center"/>
          </w:tcPr>
          <w:p w14:paraId="7FC25F9E">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0422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restart"/>
            <w:vAlign w:val="center"/>
          </w:tcPr>
          <w:p w14:paraId="189404E7">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宏观层面</w:t>
            </w:r>
          </w:p>
        </w:tc>
        <w:tc>
          <w:tcPr>
            <w:tcW w:w="396" w:type="dxa"/>
            <w:vMerge w:val="restart"/>
            <w:vAlign w:val="center"/>
          </w:tcPr>
          <w:p w14:paraId="018CC253">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经济</w:t>
            </w:r>
          </w:p>
        </w:tc>
        <w:tc>
          <w:tcPr>
            <w:tcW w:w="1446" w:type="dxa"/>
            <w:vAlign w:val="center"/>
          </w:tcPr>
          <w:p w14:paraId="1007AAAB">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物价</w:t>
            </w:r>
          </w:p>
        </w:tc>
        <w:tc>
          <w:tcPr>
            <w:tcW w:w="5103" w:type="dxa"/>
            <w:vAlign w:val="center"/>
          </w:tcPr>
          <w:p w14:paraId="112B24A9">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因通货膨胀引起物价水平上升，货币购买力下降，导致项目建设和运维成本增加。</w:t>
            </w:r>
          </w:p>
        </w:tc>
        <w:tc>
          <w:tcPr>
            <w:tcW w:w="851" w:type="dxa"/>
            <w:vAlign w:val="center"/>
          </w:tcPr>
          <w:p w14:paraId="3F2A31C3">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50C3D72C">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20BB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405B3FF7">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07B1C60B">
            <w:pPr>
              <w:pStyle w:val="2"/>
              <w:spacing w:line="240" w:lineRule="auto"/>
              <w:ind w:firstLine="0" w:firstLineChars="0"/>
              <w:jc w:val="center"/>
              <w:rPr>
                <w:rFonts w:hint="eastAsia" w:asciiTheme="minorEastAsia" w:hAnsiTheme="minorEastAsia" w:eastAsiaTheme="minorEastAsia" w:cstheme="minorEastAsia"/>
              </w:rPr>
            </w:pPr>
          </w:p>
        </w:tc>
        <w:tc>
          <w:tcPr>
            <w:tcW w:w="1446" w:type="dxa"/>
            <w:vMerge w:val="restart"/>
            <w:vAlign w:val="center"/>
          </w:tcPr>
          <w:p w14:paraId="4A074945">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税收</w:t>
            </w:r>
          </w:p>
        </w:tc>
        <w:tc>
          <w:tcPr>
            <w:tcW w:w="5103" w:type="dxa"/>
            <w:vAlign w:val="center"/>
          </w:tcPr>
          <w:p w14:paraId="1492BB87">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相关税收政策发生变化，导致运营方在运营期缴纳的增值税或其他税费增加。</w:t>
            </w:r>
          </w:p>
        </w:tc>
        <w:tc>
          <w:tcPr>
            <w:tcW w:w="851" w:type="dxa"/>
            <w:vAlign w:val="center"/>
          </w:tcPr>
          <w:p w14:paraId="5C30ED41">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5C0AADD4">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184DD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02E2826F">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46B29425">
            <w:pPr>
              <w:pStyle w:val="2"/>
              <w:spacing w:line="240" w:lineRule="auto"/>
              <w:ind w:firstLine="0" w:firstLineChars="0"/>
              <w:jc w:val="center"/>
              <w:rPr>
                <w:rFonts w:hint="eastAsia" w:asciiTheme="minorEastAsia" w:hAnsiTheme="minorEastAsia" w:eastAsiaTheme="minorEastAsia" w:cstheme="minorEastAsia"/>
              </w:rPr>
            </w:pPr>
          </w:p>
        </w:tc>
        <w:tc>
          <w:tcPr>
            <w:tcW w:w="1446" w:type="dxa"/>
            <w:vMerge w:val="continue"/>
            <w:vAlign w:val="center"/>
          </w:tcPr>
          <w:p w14:paraId="4BEA35A5">
            <w:pPr>
              <w:pStyle w:val="2"/>
              <w:spacing w:line="240" w:lineRule="auto"/>
              <w:ind w:firstLine="0" w:firstLineChars="0"/>
              <w:jc w:val="center"/>
              <w:rPr>
                <w:rFonts w:hint="eastAsia" w:asciiTheme="minorEastAsia" w:hAnsiTheme="minorEastAsia" w:eastAsiaTheme="minorEastAsia" w:cstheme="minorEastAsia"/>
              </w:rPr>
            </w:pPr>
          </w:p>
        </w:tc>
        <w:tc>
          <w:tcPr>
            <w:tcW w:w="5103" w:type="dxa"/>
            <w:vAlign w:val="center"/>
          </w:tcPr>
          <w:p w14:paraId="7318E27D">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运营方无法从供应商处取得发票，导致运营期缴纳的增值税增加。</w:t>
            </w:r>
          </w:p>
        </w:tc>
        <w:tc>
          <w:tcPr>
            <w:tcW w:w="851" w:type="dxa"/>
            <w:vAlign w:val="center"/>
          </w:tcPr>
          <w:p w14:paraId="1CB5D6AA">
            <w:pPr>
              <w:pStyle w:val="2"/>
              <w:spacing w:line="240" w:lineRule="auto"/>
              <w:ind w:firstLine="0" w:firstLineChars="0"/>
              <w:jc w:val="center"/>
              <w:rPr>
                <w:rFonts w:hint="eastAsia" w:asciiTheme="minorEastAsia" w:hAnsiTheme="minorEastAsia" w:eastAsiaTheme="minorEastAsia" w:cstheme="minorEastAsia"/>
              </w:rPr>
            </w:pPr>
          </w:p>
        </w:tc>
        <w:tc>
          <w:tcPr>
            <w:tcW w:w="843" w:type="dxa"/>
            <w:vAlign w:val="center"/>
          </w:tcPr>
          <w:p w14:paraId="06F8F7FA">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1DDF9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7D76DC64">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restart"/>
            <w:vAlign w:val="center"/>
          </w:tcPr>
          <w:p w14:paraId="53F1F63E">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政治</w:t>
            </w:r>
          </w:p>
        </w:tc>
        <w:tc>
          <w:tcPr>
            <w:tcW w:w="1446" w:type="dxa"/>
            <w:vAlign w:val="center"/>
          </w:tcPr>
          <w:p w14:paraId="04808391">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政府干预</w:t>
            </w:r>
          </w:p>
        </w:tc>
        <w:tc>
          <w:tcPr>
            <w:tcW w:w="5103" w:type="dxa"/>
            <w:vAlign w:val="center"/>
          </w:tcPr>
          <w:p w14:paraId="5143F963">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除不可抗力因素、政策、本级及上级政府要求，政府直接干预项目建设/运营，导致项目工期延误、暂停、终止。</w:t>
            </w:r>
          </w:p>
        </w:tc>
        <w:tc>
          <w:tcPr>
            <w:tcW w:w="851" w:type="dxa"/>
            <w:vAlign w:val="center"/>
          </w:tcPr>
          <w:p w14:paraId="37C32F25">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55F472A9">
            <w:pPr>
              <w:pStyle w:val="2"/>
              <w:spacing w:line="240" w:lineRule="auto"/>
              <w:ind w:firstLine="0" w:firstLineChars="0"/>
              <w:jc w:val="center"/>
              <w:rPr>
                <w:rFonts w:hint="eastAsia" w:asciiTheme="minorEastAsia" w:hAnsiTheme="minorEastAsia" w:eastAsiaTheme="minorEastAsia" w:cstheme="minorEastAsia"/>
              </w:rPr>
            </w:pPr>
          </w:p>
        </w:tc>
      </w:tr>
      <w:tr w14:paraId="2817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26AB1F9B">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0DE855CD">
            <w:pPr>
              <w:pStyle w:val="2"/>
              <w:spacing w:line="240" w:lineRule="auto"/>
              <w:ind w:firstLine="0" w:firstLineChars="0"/>
              <w:jc w:val="center"/>
              <w:rPr>
                <w:rFonts w:hint="eastAsia" w:asciiTheme="minorEastAsia" w:hAnsiTheme="minorEastAsia" w:eastAsiaTheme="minorEastAsia" w:cstheme="minorEastAsia"/>
              </w:rPr>
            </w:pPr>
          </w:p>
        </w:tc>
        <w:tc>
          <w:tcPr>
            <w:tcW w:w="1446" w:type="dxa"/>
            <w:vAlign w:val="center"/>
          </w:tcPr>
          <w:p w14:paraId="253060CE">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政府信用</w:t>
            </w:r>
          </w:p>
        </w:tc>
        <w:tc>
          <w:tcPr>
            <w:tcW w:w="5103" w:type="dxa"/>
            <w:vAlign w:val="center"/>
          </w:tcPr>
          <w:p w14:paraId="4BFE95AD">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政府不履行或拒绝履行合同约定的责任和义务而给项目带来直接或间接的危害。</w:t>
            </w:r>
          </w:p>
        </w:tc>
        <w:tc>
          <w:tcPr>
            <w:tcW w:w="851" w:type="dxa"/>
            <w:vAlign w:val="center"/>
          </w:tcPr>
          <w:p w14:paraId="00C0FBB2">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06849A15">
            <w:pPr>
              <w:pStyle w:val="2"/>
              <w:spacing w:line="240" w:lineRule="auto"/>
              <w:ind w:firstLine="0" w:firstLineChars="0"/>
              <w:jc w:val="center"/>
              <w:rPr>
                <w:rFonts w:hint="eastAsia" w:asciiTheme="minorEastAsia" w:hAnsiTheme="minorEastAsia" w:eastAsiaTheme="minorEastAsia" w:cstheme="minorEastAsia"/>
              </w:rPr>
            </w:pPr>
          </w:p>
        </w:tc>
      </w:tr>
      <w:tr w14:paraId="7750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359AF3AD">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1482F30D">
            <w:pPr>
              <w:pStyle w:val="2"/>
              <w:spacing w:line="240" w:lineRule="auto"/>
              <w:ind w:firstLine="0" w:firstLineChars="0"/>
              <w:jc w:val="center"/>
              <w:rPr>
                <w:rFonts w:hint="eastAsia" w:asciiTheme="minorEastAsia" w:hAnsiTheme="minorEastAsia" w:eastAsiaTheme="minorEastAsia" w:cstheme="minorEastAsia"/>
              </w:rPr>
            </w:pPr>
          </w:p>
        </w:tc>
        <w:tc>
          <w:tcPr>
            <w:tcW w:w="1446" w:type="dxa"/>
            <w:vAlign w:val="center"/>
          </w:tcPr>
          <w:p w14:paraId="7EB3088B">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行业政策</w:t>
            </w:r>
          </w:p>
        </w:tc>
        <w:tc>
          <w:tcPr>
            <w:tcW w:w="5103" w:type="dxa"/>
            <w:vAlign w:val="center"/>
          </w:tcPr>
          <w:p w14:paraId="355BBFFF">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行业政策变更影响项目合规性，造成项目成本收益出现大幅变动。</w:t>
            </w:r>
          </w:p>
        </w:tc>
        <w:tc>
          <w:tcPr>
            <w:tcW w:w="851" w:type="dxa"/>
            <w:vAlign w:val="center"/>
          </w:tcPr>
          <w:p w14:paraId="1BE16B16">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31D5EF7A">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39FC6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77F6B645">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4EBB71F9">
            <w:pPr>
              <w:pStyle w:val="2"/>
              <w:spacing w:line="240" w:lineRule="auto"/>
              <w:ind w:firstLine="0" w:firstLineChars="0"/>
              <w:jc w:val="center"/>
              <w:rPr>
                <w:rFonts w:hint="eastAsia" w:asciiTheme="minorEastAsia" w:hAnsiTheme="minorEastAsia" w:eastAsiaTheme="minorEastAsia" w:cstheme="minorEastAsia"/>
              </w:rPr>
            </w:pPr>
          </w:p>
        </w:tc>
        <w:tc>
          <w:tcPr>
            <w:tcW w:w="1446" w:type="dxa"/>
            <w:vAlign w:val="center"/>
          </w:tcPr>
          <w:p w14:paraId="08102F82">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规划变更</w:t>
            </w:r>
          </w:p>
        </w:tc>
        <w:tc>
          <w:tcPr>
            <w:tcW w:w="5103" w:type="dxa"/>
            <w:vAlign w:val="center"/>
          </w:tcPr>
          <w:p w14:paraId="6FFB3DBA">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由于城镇规划和停车规划等相关规划的调整，导致项目处理设施改造成本大幅度提升。</w:t>
            </w:r>
          </w:p>
        </w:tc>
        <w:tc>
          <w:tcPr>
            <w:tcW w:w="851" w:type="dxa"/>
            <w:vAlign w:val="center"/>
          </w:tcPr>
          <w:p w14:paraId="147C0EEB">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76551B12">
            <w:pPr>
              <w:pStyle w:val="2"/>
              <w:spacing w:line="240" w:lineRule="auto"/>
              <w:ind w:firstLine="0" w:firstLineChars="0"/>
              <w:jc w:val="center"/>
              <w:rPr>
                <w:rFonts w:hint="eastAsia" w:asciiTheme="minorEastAsia" w:hAnsiTheme="minorEastAsia" w:eastAsiaTheme="minorEastAsia" w:cstheme="minorEastAsia"/>
              </w:rPr>
            </w:pPr>
          </w:p>
        </w:tc>
      </w:tr>
      <w:tr w14:paraId="76F6E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235E31FD">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6FB06ECE">
            <w:pPr>
              <w:pStyle w:val="2"/>
              <w:spacing w:line="240" w:lineRule="auto"/>
              <w:ind w:firstLine="0" w:firstLineChars="0"/>
              <w:jc w:val="center"/>
              <w:rPr>
                <w:rFonts w:hint="eastAsia" w:asciiTheme="minorEastAsia" w:hAnsiTheme="minorEastAsia" w:eastAsiaTheme="minorEastAsia" w:cstheme="minorEastAsia"/>
              </w:rPr>
            </w:pPr>
          </w:p>
        </w:tc>
        <w:tc>
          <w:tcPr>
            <w:tcW w:w="1446" w:type="dxa"/>
            <w:vMerge w:val="restart"/>
            <w:vAlign w:val="center"/>
          </w:tcPr>
          <w:p w14:paraId="5E97C201">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征收/征用</w:t>
            </w:r>
          </w:p>
        </w:tc>
        <w:tc>
          <w:tcPr>
            <w:tcW w:w="5103" w:type="dxa"/>
            <w:vAlign w:val="center"/>
          </w:tcPr>
          <w:p w14:paraId="7EFA933A">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上级政府对项目实行征收、征收征用。</w:t>
            </w:r>
          </w:p>
        </w:tc>
        <w:tc>
          <w:tcPr>
            <w:tcW w:w="851" w:type="dxa"/>
            <w:vAlign w:val="center"/>
          </w:tcPr>
          <w:p w14:paraId="6DEF035D">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05610B30">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2A6E0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31FBE6EB">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27D69EB0">
            <w:pPr>
              <w:pStyle w:val="2"/>
              <w:spacing w:line="240" w:lineRule="auto"/>
              <w:ind w:firstLine="0" w:firstLineChars="0"/>
              <w:jc w:val="center"/>
              <w:rPr>
                <w:rFonts w:hint="eastAsia" w:asciiTheme="minorEastAsia" w:hAnsiTheme="minorEastAsia" w:eastAsiaTheme="minorEastAsia" w:cstheme="minorEastAsia"/>
              </w:rPr>
            </w:pPr>
          </w:p>
        </w:tc>
        <w:tc>
          <w:tcPr>
            <w:tcW w:w="1446" w:type="dxa"/>
            <w:vMerge w:val="continue"/>
            <w:vAlign w:val="center"/>
          </w:tcPr>
          <w:p w14:paraId="6F928D31">
            <w:pPr>
              <w:pStyle w:val="2"/>
              <w:spacing w:line="240" w:lineRule="auto"/>
              <w:ind w:firstLine="0" w:firstLineChars="0"/>
              <w:jc w:val="center"/>
              <w:rPr>
                <w:rFonts w:hint="eastAsia" w:asciiTheme="minorEastAsia" w:hAnsiTheme="minorEastAsia" w:eastAsiaTheme="minorEastAsia" w:cstheme="minorEastAsia"/>
              </w:rPr>
            </w:pPr>
          </w:p>
        </w:tc>
        <w:tc>
          <w:tcPr>
            <w:tcW w:w="5103" w:type="dxa"/>
            <w:vAlign w:val="center"/>
          </w:tcPr>
          <w:p w14:paraId="643F8709">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本级政府对项目实行征收、征收征用。</w:t>
            </w:r>
          </w:p>
        </w:tc>
        <w:tc>
          <w:tcPr>
            <w:tcW w:w="851" w:type="dxa"/>
            <w:vAlign w:val="center"/>
          </w:tcPr>
          <w:p w14:paraId="742C5662">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63FADFF1">
            <w:pPr>
              <w:pStyle w:val="2"/>
              <w:spacing w:line="240" w:lineRule="auto"/>
              <w:ind w:firstLine="0" w:firstLineChars="0"/>
              <w:jc w:val="center"/>
              <w:rPr>
                <w:rFonts w:hint="eastAsia" w:asciiTheme="minorEastAsia" w:hAnsiTheme="minorEastAsia" w:eastAsiaTheme="minorEastAsia" w:cstheme="minorEastAsia"/>
              </w:rPr>
            </w:pPr>
          </w:p>
        </w:tc>
      </w:tr>
      <w:tr w14:paraId="211B6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593F9395">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restart"/>
            <w:vAlign w:val="center"/>
          </w:tcPr>
          <w:p w14:paraId="770DAEE4">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法律</w:t>
            </w:r>
          </w:p>
        </w:tc>
        <w:tc>
          <w:tcPr>
            <w:tcW w:w="1446" w:type="dxa"/>
            <w:vAlign w:val="center"/>
          </w:tcPr>
          <w:p w14:paraId="62FB5304">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法律变更</w:t>
            </w:r>
          </w:p>
        </w:tc>
        <w:tc>
          <w:tcPr>
            <w:tcW w:w="5103" w:type="dxa"/>
            <w:vAlign w:val="center"/>
          </w:tcPr>
          <w:p w14:paraId="5EACB9C3">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重大法律法规变更，导致项目无法继续实施。</w:t>
            </w:r>
          </w:p>
        </w:tc>
        <w:tc>
          <w:tcPr>
            <w:tcW w:w="851" w:type="dxa"/>
            <w:vAlign w:val="center"/>
          </w:tcPr>
          <w:p w14:paraId="235F4A9A">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19BDCAD7">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18689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3413C9E8">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7635A524">
            <w:pPr>
              <w:pStyle w:val="2"/>
              <w:spacing w:line="240" w:lineRule="auto"/>
              <w:ind w:firstLine="0" w:firstLineChars="0"/>
              <w:jc w:val="center"/>
              <w:rPr>
                <w:rFonts w:hint="eastAsia" w:asciiTheme="minorEastAsia" w:hAnsiTheme="minorEastAsia" w:eastAsiaTheme="minorEastAsia" w:cstheme="minorEastAsia"/>
              </w:rPr>
            </w:pPr>
          </w:p>
        </w:tc>
        <w:tc>
          <w:tcPr>
            <w:tcW w:w="1446" w:type="dxa"/>
            <w:vMerge w:val="restart"/>
            <w:vAlign w:val="center"/>
          </w:tcPr>
          <w:p w14:paraId="030D4A72">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合法合规</w:t>
            </w:r>
          </w:p>
        </w:tc>
        <w:tc>
          <w:tcPr>
            <w:tcW w:w="5103" w:type="dxa"/>
            <w:vAlign w:val="center"/>
          </w:tcPr>
          <w:p w14:paraId="2FEDAE56">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政府行为未遵守相关法律法规，给项目造成损失。</w:t>
            </w:r>
          </w:p>
        </w:tc>
        <w:tc>
          <w:tcPr>
            <w:tcW w:w="851" w:type="dxa"/>
            <w:vAlign w:val="center"/>
          </w:tcPr>
          <w:p w14:paraId="4C45F88E">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335D2BDD">
            <w:pPr>
              <w:pStyle w:val="2"/>
              <w:spacing w:line="240" w:lineRule="auto"/>
              <w:ind w:firstLine="0" w:firstLineChars="0"/>
              <w:jc w:val="center"/>
              <w:rPr>
                <w:rFonts w:hint="eastAsia" w:asciiTheme="minorEastAsia" w:hAnsiTheme="minorEastAsia" w:eastAsiaTheme="minorEastAsia" w:cstheme="minorEastAsia"/>
              </w:rPr>
            </w:pPr>
          </w:p>
        </w:tc>
      </w:tr>
      <w:tr w14:paraId="37840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7EF63E3E">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47BECE07">
            <w:pPr>
              <w:pStyle w:val="2"/>
              <w:spacing w:line="240" w:lineRule="auto"/>
              <w:ind w:firstLine="0" w:firstLineChars="0"/>
              <w:jc w:val="center"/>
              <w:rPr>
                <w:rFonts w:hint="eastAsia" w:asciiTheme="minorEastAsia" w:hAnsiTheme="minorEastAsia" w:eastAsiaTheme="minorEastAsia" w:cstheme="minorEastAsia"/>
              </w:rPr>
            </w:pPr>
          </w:p>
        </w:tc>
        <w:tc>
          <w:tcPr>
            <w:tcW w:w="1446" w:type="dxa"/>
            <w:vMerge w:val="continue"/>
            <w:vAlign w:val="center"/>
          </w:tcPr>
          <w:p w14:paraId="7DF2C5F8">
            <w:pPr>
              <w:pStyle w:val="2"/>
              <w:spacing w:line="240" w:lineRule="auto"/>
              <w:ind w:firstLine="0" w:firstLineChars="0"/>
              <w:jc w:val="center"/>
              <w:rPr>
                <w:rFonts w:hint="eastAsia" w:asciiTheme="minorEastAsia" w:hAnsiTheme="minorEastAsia" w:eastAsiaTheme="minorEastAsia" w:cstheme="minorEastAsia"/>
              </w:rPr>
            </w:pPr>
          </w:p>
        </w:tc>
        <w:tc>
          <w:tcPr>
            <w:tcW w:w="5103" w:type="dxa"/>
            <w:vAlign w:val="center"/>
          </w:tcPr>
          <w:p w14:paraId="65A1BCB8">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建设方与其他第三方签署的合同发生纠纷，产生争议影响项目实施。</w:t>
            </w:r>
          </w:p>
        </w:tc>
        <w:tc>
          <w:tcPr>
            <w:tcW w:w="851" w:type="dxa"/>
            <w:vAlign w:val="center"/>
          </w:tcPr>
          <w:p w14:paraId="08D1C1FA">
            <w:pPr>
              <w:pStyle w:val="2"/>
              <w:spacing w:line="240" w:lineRule="auto"/>
              <w:ind w:firstLine="0" w:firstLineChars="0"/>
              <w:jc w:val="center"/>
              <w:rPr>
                <w:rFonts w:hint="eastAsia" w:asciiTheme="minorEastAsia" w:hAnsiTheme="minorEastAsia" w:eastAsiaTheme="minorEastAsia" w:cstheme="minorEastAsia"/>
              </w:rPr>
            </w:pPr>
          </w:p>
        </w:tc>
        <w:tc>
          <w:tcPr>
            <w:tcW w:w="843" w:type="dxa"/>
            <w:vAlign w:val="center"/>
          </w:tcPr>
          <w:p w14:paraId="720B5335">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473BC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5FC2683C">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4025B032">
            <w:pPr>
              <w:pStyle w:val="2"/>
              <w:spacing w:line="240" w:lineRule="auto"/>
              <w:ind w:firstLine="0" w:firstLineChars="0"/>
              <w:jc w:val="center"/>
              <w:rPr>
                <w:rFonts w:hint="eastAsia" w:asciiTheme="minorEastAsia" w:hAnsiTheme="minorEastAsia" w:eastAsiaTheme="minorEastAsia" w:cstheme="minorEastAsia"/>
              </w:rPr>
            </w:pPr>
          </w:p>
        </w:tc>
        <w:tc>
          <w:tcPr>
            <w:tcW w:w="1446" w:type="dxa"/>
            <w:vMerge w:val="restart"/>
            <w:vAlign w:val="center"/>
          </w:tcPr>
          <w:p w14:paraId="00E5454F">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合同纠纷</w:t>
            </w:r>
          </w:p>
        </w:tc>
        <w:tc>
          <w:tcPr>
            <w:tcW w:w="5103" w:type="dxa"/>
            <w:vAlign w:val="center"/>
          </w:tcPr>
          <w:p w14:paraId="76A0A4B0">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政府方与其他第三方签署的合同发生纠纷，产生争议影响项目实施。</w:t>
            </w:r>
          </w:p>
        </w:tc>
        <w:tc>
          <w:tcPr>
            <w:tcW w:w="851" w:type="dxa"/>
            <w:vAlign w:val="center"/>
          </w:tcPr>
          <w:p w14:paraId="0BDAEE9A">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69002FEF">
            <w:pPr>
              <w:pStyle w:val="2"/>
              <w:spacing w:line="240" w:lineRule="auto"/>
              <w:ind w:firstLine="0" w:firstLineChars="0"/>
              <w:jc w:val="center"/>
              <w:rPr>
                <w:rFonts w:hint="eastAsia" w:asciiTheme="minorEastAsia" w:hAnsiTheme="minorEastAsia" w:eastAsiaTheme="minorEastAsia" w:cstheme="minorEastAsia"/>
              </w:rPr>
            </w:pPr>
          </w:p>
        </w:tc>
      </w:tr>
      <w:tr w14:paraId="75B9F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7858DC43">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0406FBF1">
            <w:pPr>
              <w:pStyle w:val="2"/>
              <w:spacing w:line="240" w:lineRule="auto"/>
              <w:ind w:firstLine="0" w:firstLineChars="0"/>
              <w:jc w:val="center"/>
              <w:rPr>
                <w:rFonts w:hint="eastAsia" w:asciiTheme="minorEastAsia" w:hAnsiTheme="minorEastAsia" w:eastAsiaTheme="minorEastAsia" w:cstheme="minorEastAsia"/>
              </w:rPr>
            </w:pPr>
          </w:p>
        </w:tc>
        <w:tc>
          <w:tcPr>
            <w:tcW w:w="1446" w:type="dxa"/>
            <w:vMerge w:val="continue"/>
            <w:vAlign w:val="center"/>
          </w:tcPr>
          <w:p w14:paraId="1AFBFAEF">
            <w:pPr>
              <w:pStyle w:val="2"/>
              <w:spacing w:line="240" w:lineRule="auto"/>
              <w:ind w:firstLine="0" w:firstLineChars="0"/>
              <w:jc w:val="center"/>
              <w:rPr>
                <w:rFonts w:hint="eastAsia" w:asciiTheme="minorEastAsia" w:hAnsiTheme="minorEastAsia" w:eastAsiaTheme="minorEastAsia" w:cstheme="minorEastAsia"/>
              </w:rPr>
            </w:pPr>
          </w:p>
        </w:tc>
        <w:tc>
          <w:tcPr>
            <w:tcW w:w="5103" w:type="dxa"/>
            <w:vAlign w:val="center"/>
          </w:tcPr>
          <w:p w14:paraId="4FD66702">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政府和建设方或运营方之间签署的合同文件出现错误、模糊不清发生合同纠纷，导致合作产生争议。</w:t>
            </w:r>
          </w:p>
        </w:tc>
        <w:tc>
          <w:tcPr>
            <w:tcW w:w="851" w:type="dxa"/>
            <w:vAlign w:val="center"/>
          </w:tcPr>
          <w:p w14:paraId="6F3A9CCD">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369E65F3">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146C4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20320855">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3A7678F3">
            <w:pPr>
              <w:pStyle w:val="2"/>
              <w:spacing w:line="240" w:lineRule="auto"/>
              <w:ind w:firstLine="0" w:firstLineChars="0"/>
              <w:jc w:val="center"/>
              <w:rPr>
                <w:rFonts w:hint="eastAsia" w:asciiTheme="minorEastAsia" w:hAnsiTheme="minorEastAsia" w:eastAsiaTheme="minorEastAsia" w:cstheme="minorEastAsia"/>
              </w:rPr>
            </w:pPr>
          </w:p>
        </w:tc>
        <w:tc>
          <w:tcPr>
            <w:tcW w:w="1446" w:type="dxa"/>
            <w:vMerge w:val="continue"/>
            <w:vAlign w:val="center"/>
          </w:tcPr>
          <w:p w14:paraId="6E0AD479">
            <w:pPr>
              <w:pStyle w:val="2"/>
              <w:spacing w:line="240" w:lineRule="auto"/>
              <w:ind w:firstLine="0" w:firstLineChars="0"/>
              <w:jc w:val="center"/>
              <w:rPr>
                <w:rFonts w:hint="eastAsia" w:asciiTheme="minorEastAsia" w:hAnsiTheme="minorEastAsia" w:eastAsiaTheme="minorEastAsia" w:cstheme="minorEastAsia"/>
              </w:rPr>
            </w:pPr>
          </w:p>
        </w:tc>
        <w:tc>
          <w:tcPr>
            <w:tcW w:w="5103" w:type="dxa"/>
            <w:vAlign w:val="center"/>
          </w:tcPr>
          <w:p w14:paraId="308609C3">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建设方或运营方与其他第三方签署的合同发生纠纷，产生争议影响项目实施。</w:t>
            </w:r>
          </w:p>
        </w:tc>
        <w:tc>
          <w:tcPr>
            <w:tcW w:w="851" w:type="dxa"/>
            <w:vAlign w:val="center"/>
          </w:tcPr>
          <w:p w14:paraId="21315595">
            <w:pPr>
              <w:pStyle w:val="2"/>
              <w:spacing w:line="240" w:lineRule="auto"/>
              <w:ind w:firstLine="0" w:firstLineChars="0"/>
              <w:jc w:val="center"/>
              <w:rPr>
                <w:rFonts w:hint="eastAsia" w:asciiTheme="minorEastAsia" w:hAnsiTheme="minorEastAsia" w:eastAsiaTheme="minorEastAsia" w:cstheme="minorEastAsia"/>
              </w:rPr>
            </w:pPr>
          </w:p>
        </w:tc>
        <w:tc>
          <w:tcPr>
            <w:tcW w:w="843" w:type="dxa"/>
            <w:vAlign w:val="center"/>
          </w:tcPr>
          <w:p w14:paraId="7CAD0380">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06962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18B51C66">
            <w:pPr>
              <w:pStyle w:val="2"/>
              <w:spacing w:line="240" w:lineRule="auto"/>
              <w:ind w:firstLine="0" w:firstLineChars="0"/>
              <w:jc w:val="center"/>
              <w:rPr>
                <w:rFonts w:hint="eastAsia" w:asciiTheme="minorEastAsia" w:hAnsiTheme="minorEastAsia" w:eastAsiaTheme="minorEastAsia" w:cstheme="minorEastAsia"/>
              </w:rPr>
            </w:pPr>
          </w:p>
        </w:tc>
        <w:tc>
          <w:tcPr>
            <w:tcW w:w="396" w:type="dxa"/>
            <w:vAlign w:val="center"/>
          </w:tcPr>
          <w:p w14:paraId="770F374A">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社会</w:t>
            </w:r>
          </w:p>
        </w:tc>
        <w:tc>
          <w:tcPr>
            <w:tcW w:w="1446" w:type="dxa"/>
            <w:vAlign w:val="center"/>
          </w:tcPr>
          <w:p w14:paraId="1DC9019A">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社会舆论</w:t>
            </w:r>
          </w:p>
        </w:tc>
        <w:tc>
          <w:tcPr>
            <w:tcW w:w="5103" w:type="dxa"/>
            <w:vAlign w:val="center"/>
          </w:tcPr>
          <w:p w14:paraId="434F4431">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因政府方的原因导致社会舆论存在大量谣言、虚假消息或负面评价对项目产生不利影响，由政府方承担；因建设方或运营方的原因导致社会舆论存在大量谣言、虚假消息或负面评价对项目产生不利影响，由建设方或运营方各自承担。</w:t>
            </w:r>
          </w:p>
        </w:tc>
        <w:tc>
          <w:tcPr>
            <w:tcW w:w="851" w:type="dxa"/>
            <w:vAlign w:val="center"/>
          </w:tcPr>
          <w:p w14:paraId="52F7DE12">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0A0F4351">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58D72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497D3353">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restart"/>
            <w:vAlign w:val="center"/>
          </w:tcPr>
          <w:p w14:paraId="6326CD51">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不可抗力</w:t>
            </w:r>
          </w:p>
        </w:tc>
        <w:tc>
          <w:tcPr>
            <w:tcW w:w="1446" w:type="dxa"/>
            <w:vAlign w:val="center"/>
          </w:tcPr>
          <w:p w14:paraId="629F9848">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自然环境</w:t>
            </w:r>
          </w:p>
        </w:tc>
        <w:tc>
          <w:tcPr>
            <w:tcW w:w="5103" w:type="dxa"/>
            <w:vAlign w:val="center"/>
          </w:tcPr>
          <w:p w14:paraId="1FA1E5AA">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项目所在地发生地震、洪水、泥石流、台风等自然灾害。</w:t>
            </w:r>
          </w:p>
        </w:tc>
        <w:tc>
          <w:tcPr>
            <w:tcW w:w="851" w:type="dxa"/>
            <w:vAlign w:val="center"/>
          </w:tcPr>
          <w:p w14:paraId="20F466A1">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5B11E6FC">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23216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5169097B">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459D9B02">
            <w:pPr>
              <w:pStyle w:val="2"/>
              <w:spacing w:line="240" w:lineRule="auto"/>
              <w:ind w:firstLine="0" w:firstLineChars="0"/>
              <w:jc w:val="center"/>
              <w:rPr>
                <w:rFonts w:hint="eastAsia" w:asciiTheme="minorEastAsia" w:hAnsiTheme="minorEastAsia" w:eastAsiaTheme="minorEastAsia" w:cstheme="minorEastAsia"/>
              </w:rPr>
            </w:pPr>
          </w:p>
        </w:tc>
        <w:tc>
          <w:tcPr>
            <w:tcW w:w="1446" w:type="dxa"/>
            <w:vAlign w:val="center"/>
          </w:tcPr>
          <w:p w14:paraId="4A508813">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意外事故</w:t>
            </w:r>
          </w:p>
        </w:tc>
        <w:tc>
          <w:tcPr>
            <w:tcW w:w="5103" w:type="dxa"/>
            <w:vAlign w:val="center"/>
          </w:tcPr>
          <w:p w14:paraId="0E810D68">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项目所在地发生火灾、重大疫情等意外事故。</w:t>
            </w:r>
          </w:p>
        </w:tc>
        <w:tc>
          <w:tcPr>
            <w:tcW w:w="851" w:type="dxa"/>
            <w:vAlign w:val="center"/>
          </w:tcPr>
          <w:p w14:paraId="07EC13B8">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06BD3185">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r w14:paraId="4D189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vMerge w:val="continue"/>
            <w:vAlign w:val="center"/>
          </w:tcPr>
          <w:p w14:paraId="5467D622">
            <w:pPr>
              <w:pStyle w:val="2"/>
              <w:spacing w:line="240" w:lineRule="auto"/>
              <w:ind w:firstLine="0" w:firstLineChars="0"/>
              <w:jc w:val="center"/>
              <w:rPr>
                <w:rFonts w:hint="eastAsia" w:asciiTheme="minorEastAsia" w:hAnsiTheme="minorEastAsia" w:eastAsiaTheme="minorEastAsia" w:cstheme="minorEastAsia"/>
              </w:rPr>
            </w:pPr>
          </w:p>
        </w:tc>
        <w:tc>
          <w:tcPr>
            <w:tcW w:w="396" w:type="dxa"/>
            <w:vMerge w:val="continue"/>
            <w:vAlign w:val="center"/>
          </w:tcPr>
          <w:p w14:paraId="2E8EB98F">
            <w:pPr>
              <w:pStyle w:val="2"/>
              <w:spacing w:line="240" w:lineRule="auto"/>
              <w:ind w:firstLine="0" w:firstLineChars="0"/>
              <w:jc w:val="center"/>
              <w:rPr>
                <w:rFonts w:hint="eastAsia" w:asciiTheme="minorEastAsia" w:hAnsiTheme="minorEastAsia" w:eastAsiaTheme="minorEastAsia" w:cstheme="minorEastAsia"/>
              </w:rPr>
            </w:pPr>
          </w:p>
        </w:tc>
        <w:tc>
          <w:tcPr>
            <w:tcW w:w="1446" w:type="dxa"/>
            <w:vAlign w:val="center"/>
          </w:tcPr>
          <w:p w14:paraId="3471694F">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社会环境</w:t>
            </w:r>
          </w:p>
        </w:tc>
        <w:tc>
          <w:tcPr>
            <w:tcW w:w="5103" w:type="dxa"/>
            <w:vAlign w:val="center"/>
          </w:tcPr>
          <w:p w14:paraId="7DE1C4AD">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项目所在地发生国际形势或国际关系的变化、战争爆发、政局不稳、社会动荡、罢工等。</w:t>
            </w:r>
          </w:p>
        </w:tc>
        <w:tc>
          <w:tcPr>
            <w:tcW w:w="851" w:type="dxa"/>
            <w:vAlign w:val="center"/>
          </w:tcPr>
          <w:p w14:paraId="59431DE7">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c>
          <w:tcPr>
            <w:tcW w:w="843" w:type="dxa"/>
            <w:vAlign w:val="center"/>
          </w:tcPr>
          <w:p w14:paraId="7EDF06E6">
            <w:pPr>
              <w:pStyle w:val="2"/>
              <w:spacing w:line="240" w:lineRule="auto"/>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w:t>
            </w:r>
          </w:p>
        </w:tc>
      </w:tr>
    </w:tbl>
    <w:p w14:paraId="516AE058">
      <w:pPr>
        <w:pStyle w:val="2"/>
        <w:ind w:firstLine="0" w:firstLineChars="0"/>
        <w:rPr>
          <w:rFonts w:hint="eastAsia" w:asciiTheme="minorEastAsia" w:hAnsiTheme="minorEastAsia" w:eastAsiaTheme="minorEastAsia" w:cstheme="minorEastAsia"/>
        </w:rPr>
      </w:pPr>
    </w:p>
    <w:p w14:paraId="155788E1">
      <w:pPr>
        <w:pStyle w:val="2"/>
        <w:ind w:firstLine="0" w:firstLineChars="0"/>
        <w:rPr>
          <w:rFonts w:hint="eastAsia" w:asciiTheme="minorEastAsia" w:hAnsiTheme="minorEastAsia" w:eastAsiaTheme="minorEastAsia" w:cstheme="minorEastAsia"/>
        </w:rPr>
      </w:pPr>
    </w:p>
    <w:p w14:paraId="5F591DE8">
      <w:pPr>
        <w:widowControl/>
        <w:spacing w:line="240" w:lineRule="auto"/>
        <w:ind w:firstLine="0" w:firstLineChars="0"/>
        <w:jc w:val="left"/>
        <w:rPr>
          <w:rFonts w:hint="eastAsia" w:asciiTheme="minorEastAsia" w:hAnsiTheme="minorEastAsia" w:eastAsiaTheme="minorEastAsia" w:cstheme="minorEastAsia"/>
          <w:sz w:val="18"/>
          <w:szCs w:val="18"/>
          <w:lang w:eastAsia="zh-Hans"/>
        </w:rPr>
      </w:pPr>
      <w:r>
        <w:rPr>
          <w:rFonts w:hint="eastAsia" w:asciiTheme="minorEastAsia" w:hAnsiTheme="minorEastAsia" w:eastAsiaTheme="minorEastAsia" w:cstheme="minorEastAsia"/>
          <w:lang w:eastAsia="zh-Hans"/>
        </w:rPr>
        <w:br w:type="page"/>
      </w:r>
    </w:p>
    <w:p w14:paraId="73FDAECC">
      <w:pPr>
        <w:ind w:firstLine="0" w:firstLineChars="0"/>
        <w:outlineLvl w:val="0"/>
        <w:rPr>
          <w:rFonts w:hint="eastAsia" w:asciiTheme="minorEastAsia" w:hAnsiTheme="minorEastAsia" w:eastAsiaTheme="minorEastAsia" w:cstheme="minorEastAsia"/>
        </w:rPr>
      </w:pPr>
      <w:bookmarkStart w:id="116" w:name="_Toc223006321"/>
      <w:r>
        <w:rPr>
          <w:rFonts w:hint="eastAsia" w:asciiTheme="minorEastAsia" w:hAnsiTheme="minorEastAsia" w:eastAsiaTheme="minorEastAsia" w:cstheme="minorEastAsia"/>
        </w:rPr>
        <w:t>附件9：停车位明细表</w:t>
      </w:r>
      <w:bookmarkEnd w:id="116"/>
    </w:p>
    <w:tbl>
      <w:tblPr>
        <w:tblStyle w:val="9"/>
        <w:tblW w:w="5000" w:type="pct"/>
        <w:tblInd w:w="0" w:type="dxa"/>
        <w:tblLayout w:type="autofit"/>
        <w:tblCellMar>
          <w:top w:w="0" w:type="dxa"/>
          <w:left w:w="108" w:type="dxa"/>
          <w:bottom w:w="0" w:type="dxa"/>
          <w:right w:w="108" w:type="dxa"/>
        </w:tblCellMar>
      </w:tblPr>
      <w:tblGrid>
        <w:gridCol w:w="853"/>
        <w:gridCol w:w="2920"/>
        <w:gridCol w:w="1445"/>
        <w:gridCol w:w="2034"/>
        <w:gridCol w:w="2034"/>
      </w:tblGrid>
      <w:tr w14:paraId="4E303219">
        <w:tblPrEx>
          <w:tblCellMar>
            <w:top w:w="0" w:type="dxa"/>
            <w:left w:w="108" w:type="dxa"/>
            <w:bottom w:w="0" w:type="dxa"/>
            <w:right w:w="108" w:type="dxa"/>
          </w:tblCellMar>
        </w:tblPrEx>
        <w:trPr>
          <w:trHeight w:val="20" w:hRule="atLeast"/>
        </w:trPr>
        <w:tc>
          <w:tcPr>
            <w:tcW w:w="460" w:type="pct"/>
            <w:tcBorders>
              <w:top w:val="single" w:color="000000" w:sz="4" w:space="0"/>
              <w:left w:val="single" w:color="000000" w:sz="4" w:space="0"/>
              <w:bottom w:val="single" w:color="000000" w:sz="4" w:space="0"/>
              <w:right w:val="single" w:color="000000" w:sz="4" w:space="0"/>
            </w:tcBorders>
            <w:vAlign w:val="center"/>
          </w:tcPr>
          <w:p w14:paraId="5F3D633A">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序号</w:t>
            </w:r>
          </w:p>
        </w:tc>
        <w:tc>
          <w:tcPr>
            <w:tcW w:w="1571" w:type="pct"/>
            <w:tcBorders>
              <w:top w:val="single" w:color="000000" w:sz="4" w:space="0"/>
              <w:left w:val="single" w:color="000000" w:sz="4" w:space="0"/>
              <w:bottom w:val="single" w:color="000000" w:sz="4" w:space="0"/>
              <w:right w:val="single" w:color="000000" w:sz="4" w:space="0"/>
            </w:tcBorders>
            <w:noWrap/>
            <w:vAlign w:val="center"/>
          </w:tcPr>
          <w:p w14:paraId="51149265">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名称</w:t>
            </w:r>
          </w:p>
        </w:tc>
        <w:tc>
          <w:tcPr>
            <w:tcW w:w="778" w:type="pct"/>
            <w:tcBorders>
              <w:top w:val="single" w:color="000000" w:sz="4" w:space="0"/>
              <w:left w:val="nil"/>
              <w:right w:val="single" w:color="000000" w:sz="4" w:space="0"/>
            </w:tcBorders>
            <w:noWrap/>
            <w:vAlign w:val="center"/>
          </w:tcPr>
          <w:p w14:paraId="1D40FCDE">
            <w:pPr>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地上车位</w:t>
            </w:r>
          </w:p>
        </w:tc>
        <w:tc>
          <w:tcPr>
            <w:tcW w:w="1095" w:type="pct"/>
            <w:tcBorders>
              <w:top w:val="single" w:color="000000" w:sz="4" w:space="0"/>
              <w:left w:val="nil"/>
              <w:right w:val="single" w:color="000000" w:sz="4" w:space="0"/>
            </w:tcBorders>
            <w:vAlign w:val="center"/>
          </w:tcPr>
          <w:p w14:paraId="613191C2">
            <w:pPr>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地下平层车位</w:t>
            </w:r>
          </w:p>
        </w:tc>
        <w:tc>
          <w:tcPr>
            <w:tcW w:w="1095" w:type="pct"/>
            <w:tcBorders>
              <w:top w:val="single" w:color="000000" w:sz="4" w:space="0"/>
              <w:left w:val="nil"/>
              <w:right w:val="single" w:color="000000" w:sz="4" w:space="0"/>
            </w:tcBorders>
            <w:vAlign w:val="center"/>
          </w:tcPr>
          <w:p w14:paraId="45B1B9C2">
            <w:pPr>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地下机械车位</w:t>
            </w:r>
          </w:p>
        </w:tc>
      </w:tr>
      <w:tr w14:paraId="76D53BC0">
        <w:tblPrEx>
          <w:tblCellMar>
            <w:top w:w="0" w:type="dxa"/>
            <w:left w:w="108" w:type="dxa"/>
            <w:bottom w:w="0" w:type="dxa"/>
            <w:right w:w="108" w:type="dxa"/>
          </w:tblCellMar>
        </w:tblPrEx>
        <w:trPr>
          <w:trHeight w:val="20" w:hRule="atLeast"/>
        </w:trPr>
        <w:tc>
          <w:tcPr>
            <w:tcW w:w="460" w:type="pct"/>
            <w:tcBorders>
              <w:top w:val="single" w:color="000000" w:sz="4" w:space="0"/>
              <w:left w:val="single" w:color="000000" w:sz="4" w:space="0"/>
              <w:bottom w:val="single" w:color="000000" w:sz="4" w:space="0"/>
              <w:right w:val="single" w:color="000000" w:sz="4" w:space="0"/>
            </w:tcBorders>
            <w:noWrap/>
            <w:vAlign w:val="center"/>
          </w:tcPr>
          <w:p w14:paraId="29FED521">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w:t>
            </w:r>
          </w:p>
        </w:tc>
        <w:tc>
          <w:tcPr>
            <w:tcW w:w="1571" w:type="pct"/>
            <w:tcBorders>
              <w:top w:val="single" w:color="000000" w:sz="4" w:space="0"/>
              <w:left w:val="single" w:color="000000" w:sz="4" w:space="0"/>
              <w:bottom w:val="single" w:color="000000" w:sz="4" w:space="0"/>
              <w:right w:val="single" w:color="000000" w:sz="4" w:space="0"/>
            </w:tcBorders>
            <w:noWrap/>
            <w:vAlign w:val="center"/>
          </w:tcPr>
          <w:p w14:paraId="304329FB">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西兆余点位停车场地</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1BAE579B">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55</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0A638B7C">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164</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27EAD40A">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0</w:t>
            </w:r>
          </w:p>
        </w:tc>
      </w:tr>
      <w:tr w14:paraId="35916DA7">
        <w:tblPrEx>
          <w:tblCellMar>
            <w:top w:w="0" w:type="dxa"/>
            <w:left w:w="108" w:type="dxa"/>
            <w:bottom w:w="0" w:type="dxa"/>
            <w:right w:w="108" w:type="dxa"/>
          </w:tblCellMar>
        </w:tblPrEx>
        <w:trPr>
          <w:trHeight w:val="20" w:hRule="atLeast"/>
        </w:trPr>
        <w:tc>
          <w:tcPr>
            <w:tcW w:w="460" w:type="pct"/>
            <w:tcBorders>
              <w:top w:val="single" w:color="000000" w:sz="4" w:space="0"/>
              <w:left w:val="single" w:color="000000" w:sz="4" w:space="0"/>
              <w:bottom w:val="single" w:color="000000" w:sz="4" w:space="0"/>
              <w:right w:val="single" w:color="000000" w:sz="4" w:space="0"/>
            </w:tcBorders>
            <w:noWrap/>
            <w:vAlign w:val="center"/>
          </w:tcPr>
          <w:p w14:paraId="6D6236D3">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2</w:t>
            </w:r>
          </w:p>
        </w:tc>
        <w:tc>
          <w:tcPr>
            <w:tcW w:w="1571" w:type="pct"/>
            <w:tcBorders>
              <w:top w:val="single" w:color="000000" w:sz="4" w:space="0"/>
              <w:left w:val="single" w:color="000000" w:sz="4" w:space="0"/>
              <w:bottom w:val="single" w:color="000000" w:sz="4" w:space="0"/>
              <w:right w:val="single" w:color="000000" w:sz="4" w:space="0"/>
            </w:tcBorders>
            <w:noWrap/>
            <w:vAlign w:val="center"/>
          </w:tcPr>
          <w:p w14:paraId="6BDE2314">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东兆余点位停车场地</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43F49BCB">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15</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1A099962">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3975</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7D4E07E2">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0</w:t>
            </w:r>
          </w:p>
        </w:tc>
      </w:tr>
      <w:tr w14:paraId="15357CBC">
        <w:tblPrEx>
          <w:tblCellMar>
            <w:top w:w="0" w:type="dxa"/>
            <w:left w:w="108" w:type="dxa"/>
            <w:bottom w:w="0" w:type="dxa"/>
            <w:right w:w="108" w:type="dxa"/>
          </w:tblCellMar>
        </w:tblPrEx>
        <w:trPr>
          <w:trHeight w:val="20" w:hRule="atLeast"/>
        </w:trPr>
        <w:tc>
          <w:tcPr>
            <w:tcW w:w="460" w:type="pct"/>
            <w:tcBorders>
              <w:top w:val="single" w:color="000000" w:sz="4" w:space="0"/>
              <w:left w:val="single" w:color="000000" w:sz="4" w:space="0"/>
              <w:bottom w:val="single" w:color="000000" w:sz="4" w:space="0"/>
              <w:right w:val="single" w:color="000000" w:sz="4" w:space="0"/>
            </w:tcBorders>
            <w:noWrap/>
            <w:vAlign w:val="center"/>
          </w:tcPr>
          <w:p w14:paraId="27285F95">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w:t>
            </w:r>
          </w:p>
        </w:tc>
        <w:tc>
          <w:tcPr>
            <w:tcW w:w="1571" w:type="pct"/>
            <w:tcBorders>
              <w:top w:val="single" w:color="000000" w:sz="4" w:space="0"/>
              <w:left w:val="single" w:color="000000" w:sz="4" w:space="0"/>
              <w:bottom w:val="single" w:color="000000" w:sz="4" w:space="0"/>
              <w:right w:val="single" w:color="000000" w:sz="4" w:space="0"/>
            </w:tcBorders>
            <w:noWrap/>
            <w:vAlign w:val="center"/>
          </w:tcPr>
          <w:p w14:paraId="52E7AEA5">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西曹点位停车场地</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1D23CFC7">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0</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01E6C4FC">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1236</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0D1FBA29">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0</w:t>
            </w:r>
          </w:p>
        </w:tc>
      </w:tr>
      <w:tr w14:paraId="2F74C7F8">
        <w:tblPrEx>
          <w:tblCellMar>
            <w:top w:w="0" w:type="dxa"/>
            <w:left w:w="108" w:type="dxa"/>
            <w:bottom w:w="0" w:type="dxa"/>
            <w:right w:w="108" w:type="dxa"/>
          </w:tblCellMar>
        </w:tblPrEx>
        <w:trPr>
          <w:trHeight w:val="20" w:hRule="atLeast"/>
        </w:trPr>
        <w:tc>
          <w:tcPr>
            <w:tcW w:w="460" w:type="pct"/>
            <w:tcBorders>
              <w:top w:val="single" w:color="000000" w:sz="4" w:space="0"/>
              <w:left w:val="single" w:color="000000" w:sz="4" w:space="0"/>
              <w:bottom w:val="single" w:color="000000" w:sz="4" w:space="0"/>
              <w:right w:val="single" w:color="000000" w:sz="4" w:space="0"/>
            </w:tcBorders>
            <w:noWrap/>
            <w:vAlign w:val="center"/>
          </w:tcPr>
          <w:p w14:paraId="3FFEE77E">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4</w:t>
            </w:r>
          </w:p>
        </w:tc>
        <w:tc>
          <w:tcPr>
            <w:tcW w:w="1571" w:type="pct"/>
            <w:tcBorders>
              <w:top w:val="single" w:color="000000" w:sz="4" w:space="0"/>
              <w:left w:val="single" w:color="000000" w:sz="4" w:space="0"/>
              <w:bottom w:val="single" w:color="000000" w:sz="4" w:space="0"/>
              <w:right w:val="single" w:color="000000" w:sz="4" w:space="0"/>
            </w:tcBorders>
            <w:vAlign w:val="center"/>
          </w:tcPr>
          <w:p w14:paraId="3103A800">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蕉村点位停车场地</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7450D446">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334</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5BEC7E2F">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0</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1AB1BB8D">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1063</w:t>
            </w:r>
          </w:p>
        </w:tc>
      </w:tr>
      <w:tr w14:paraId="64D95D9A">
        <w:tblPrEx>
          <w:tblCellMar>
            <w:top w:w="0" w:type="dxa"/>
            <w:left w:w="108" w:type="dxa"/>
            <w:bottom w:w="0" w:type="dxa"/>
            <w:right w:w="108" w:type="dxa"/>
          </w:tblCellMar>
        </w:tblPrEx>
        <w:trPr>
          <w:trHeight w:val="20" w:hRule="atLeast"/>
        </w:trPr>
        <w:tc>
          <w:tcPr>
            <w:tcW w:w="460" w:type="pct"/>
            <w:tcBorders>
              <w:top w:val="single" w:color="000000" w:sz="4" w:space="0"/>
              <w:left w:val="single" w:color="000000" w:sz="4" w:space="0"/>
              <w:bottom w:val="single" w:color="000000" w:sz="4" w:space="0"/>
              <w:right w:val="single" w:color="000000" w:sz="4" w:space="0"/>
            </w:tcBorders>
            <w:noWrap/>
            <w:vAlign w:val="center"/>
          </w:tcPr>
          <w:p w14:paraId="2E285454">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5</w:t>
            </w:r>
          </w:p>
        </w:tc>
        <w:tc>
          <w:tcPr>
            <w:tcW w:w="1571" w:type="pct"/>
            <w:tcBorders>
              <w:top w:val="single" w:color="000000" w:sz="4" w:space="0"/>
              <w:left w:val="single" w:color="000000" w:sz="4" w:space="0"/>
              <w:bottom w:val="single" w:color="000000" w:sz="4" w:space="0"/>
              <w:right w:val="single" w:color="000000" w:sz="4" w:space="0"/>
            </w:tcBorders>
            <w:noWrap/>
            <w:vAlign w:val="center"/>
          </w:tcPr>
          <w:p w14:paraId="5C37EF2F">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高望堆点位停车场地</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68DFC1A7">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638</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6B150CDD">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0</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219B7B64">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571</w:t>
            </w:r>
          </w:p>
        </w:tc>
      </w:tr>
      <w:tr w14:paraId="183FA454">
        <w:tblPrEx>
          <w:tblCellMar>
            <w:top w:w="0" w:type="dxa"/>
            <w:left w:w="108" w:type="dxa"/>
            <w:bottom w:w="0" w:type="dxa"/>
            <w:right w:w="108" w:type="dxa"/>
          </w:tblCellMar>
        </w:tblPrEx>
        <w:trPr>
          <w:trHeight w:val="20" w:hRule="atLeast"/>
        </w:trPr>
        <w:tc>
          <w:tcPr>
            <w:tcW w:w="460" w:type="pct"/>
            <w:tcBorders>
              <w:top w:val="single" w:color="000000" w:sz="4" w:space="0"/>
              <w:left w:val="single" w:color="000000" w:sz="4" w:space="0"/>
              <w:bottom w:val="single" w:color="000000" w:sz="4" w:space="0"/>
              <w:right w:val="single" w:color="000000" w:sz="4" w:space="0"/>
            </w:tcBorders>
            <w:noWrap/>
            <w:vAlign w:val="center"/>
          </w:tcPr>
          <w:p w14:paraId="01E8D895">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6</w:t>
            </w:r>
          </w:p>
        </w:tc>
        <w:tc>
          <w:tcPr>
            <w:tcW w:w="1571" w:type="pct"/>
            <w:tcBorders>
              <w:top w:val="single" w:color="000000" w:sz="4" w:space="0"/>
              <w:left w:val="single" w:color="000000" w:sz="4" w:space="0"/>
              <w:bottom w:val="single" w:color="000000" w:sz="4" w:space="0"/>
              <w:right w:val="single" w:color="000000" w:sz="4" w:space="0"/>
            </w:tcBorders>
            <w:noWrap/>
            <w:vAlign w:val="center"/>
          </w:tcPr>
          <w:p w14:paraId="5CC9745D">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羊村点位停车场地</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37820262">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318</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11A237FB">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0</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174A4B83">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485</w:t>
            </w:r>
          </w:p>
        </w:tc>
      </w:tr>
      <w:tr w14:paraId="7FC22F6B">
        <w:tblPrEx>
          <w:tblCellMar>
            <w:top w:w="0" w:type="dxa"/>
            <w:left w:w="108" w:type="dxa"/>
            <w:bottom w:w="0" w:type="dxa"/>
            <w:right w:w="108" w:type="dxa"/>
          </w:tblCellMar>
        </w:tblPrEx>
        <w:trPr>
          <w:trHeight w:val="20" w:hRule="atLeast"/>
        </w:trPr>
        <w:tc>
          <w:tcPr>
            <w:tcW w:w="460" w:type="pct"/>
            <w:tcBorders>
              <w:top w:val="single" w:color="000000" w:sz="4" w:space="0"/>
              <w:left w:val="single" w:color="000000" w:sz="4" w:space="0"/>
              <w:bottom w:val="single" w:color="000000" w:sz="4" w:space="0"/>
              <w:right w:val="single" w:color="000000" w:sz="4" w:space="0"/>
            </w:tcBorders>
            <w:noWrap/>
            <w:vAlign w:val="center"/>
          </w:tcPr>
          <w:p w14:paraId="5C8FE5C8">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7</w:t>
            </w:r>
          </w:p>
        </w:tc>
        <w:tc>
          <w:tcPr>
            <w:tcW w:w="1571" w:type="pct"/>
            <w:tcBorders>
              <w:top w:val="single" w:color="000000" w:sz="4" w:space="0"/>
              <w:left w:val="single" w:color="000000" w:sz="4" w:space="0"/>
              <w:bottom w:val="single" w:color="000000" w:sz="4" w:space="0"/>
              <w:right w:val="single" w:color="000000" w:sz="4" w:space="0"/>
            </w:tcBorders>
            <w:noWrap/>
            <w:vAlign w:val="center"/>
          </w:tcPr>
          <w:p w14:paraId="176F1D80">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韩家湾点位停车场地</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1CCB63EF">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80</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41C596A6">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1087</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54313B71">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0</w:t>
            </w:r>
          </w:p>
        </w:tc>
      </w:tr>
      <w:tr w14:paraId="62923BB9">
        <w:tblPrEx>
          <w:tblCellMar>
            <w:top w:w="0" w:type="dxa"/>
            <w:left w:w="108" w:type="dxa"/>
            <w:bottom w:w="0" w:type="dxa"/>
            <w:right w:w="108" w:type="dxa"/>
          </w:tblCellMar>
        </w:tblPrEx>
        <w:trPr>
          <w:trHeight w:val="20" w:hRule="atLeast"/>
        </w:trPr>
        <w:tc>
          <w:tcPr>
            <w:tcW w:w="460" w:type="pct"/>
            <w:tcBorders>
              <w:top w:val="single" w:color="000000" w:sz="4" w:space="0"/>
              <w:left w:val="single" w:color="000000" w:sz="4" w:space="0"/>
              <w:bottom w:val="single" w:color="000000" w:sz="4" w:space="0"/>
              <w:right w:val="single" w:color="000000" w:sz="4" w:space="0"/>
            </w:tcBorders>
            <w:noWrap/>
            <w:vAlign w:val="center"/>
          </w:tcPr>
          <w:p w14:paraId="57A2261D">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8</w:t>
            </w:r>
          </w:p>
        </w:tc>
        <w:tc>
          <w:tcPr>
            <w:tcW w:w="1571" w:type="pct"/>
            <w:tcBorders>
              <w:top w:val="single" w:color="000000" w:sz="4" w:space="0"/>
              <w:left w:val="single" w:color="000000" w:sz="4" w:space="0"/>
              <w:bottom w:val="single" w:color="000000" w:sz="4" w:space="0"/>
              <w:right w:val="single" w:color="000000" w:sz="4" w:space="0"/>
            </w:tcBorders>
            <w:noWrap/>
            <w:vAlign w:val="center"/>
          </w:tcPr>
          <w:p w14:paraId="029D0553">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栲栳点位停车场地</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5CE1EC03">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7</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62280508">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1137</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345601DD">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194</w:t>
            </w:r>
          </w:p>
        </w:tc>
      </w:tr>
      <w:tr w14:paraId="6E6CE402">
        <w:tblPrEx>
          <w:tblCellMar>
            <w:top w:w="0" w:type="dxa"/>
            <w:left w:w="108" w:type="dxa"/>
            <w:bottom w:w="0" w:type="dxa"/>
            <w:right w:w="108" w:type="dxa"/>
          </w:tblCellMar>
        </w:tblPrEx>
        <w:trPr>
          <w:trHeight w:val="20" w:hRule="atLeast"/>
        </w:trPr>
        <w:tc>
          <w:tcPr>
            <w:tcW w:w="460" w:type="pct"/>
            <w:tcBorders>
              <w:top w:val="single" w:color="000000" w:sz="4" w:space="0"/>
              <w:left w:val="single" w:color="000000" w:sz="4" w:space="0"/>
              <w:bottom w:val="single" w:color="000000" w:sz="4" w:space="0"/>
              <w:right w:val="single" w:color="000000" w:sz="4" w:space="0"/>
            </w:tcBorders>
            <w:noWrap/>
            <w:vAlign w:val="center"/>
          </w:tcPr>
          <w:p w14:paraId="1F0A0A24">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9</w:t>
            </w:r>
          </w:p>
        </w:tc>
        <w:tc>
          <w:tcPr>
            <w:tcW w:w="1571" w:type="pct"/>
            <w:tcBorders>
              <w:top w:val="single" w:color="000000" w:sz="4" w:space="0"/>
              <w:left w:val="single" w:color="000000" w:sz="4" w:space="0"/>
              <w:bottom w:val="single" w:color="000000" w:sz="4" w:space="0"/>
              <w:right w:val="single" w:color="000000" w:sz="4" w:space="0"/>
            </w:tcBorders>
            <w:noWrap/>
            <w:vAlign w:val="center"/>
          </w:tcPr>
          <w:p w14:paraId="5F33CA10">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枣园点位停车场地</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60DBB07C">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22</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670E7BBB">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55</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31ADAA59">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0</w:t>
            </w:r>
          </w:p>
        </w:tc>
      </w:tr>
      <w:tr w14:paraId="6FC5629F">
        <w:tblPrEx>
          <w:tblCellMar>
            <w:top w:w="0" w:type="dxa"/>
            <w:left w:w="108" w:type="dxa"/>
            <w:bottom w:w="0" w:type="dxa"/>
            <w:right w:w="108" w:type="dxa"/>
          </w:tblCellMar>
        </w:tblPrEx>
        <w:trPr>
          <w:trHeight w:val="20" w:hRule="atLeast"/>
        </w:trPr>
        <w:tc>
          <w:tcPr>
            <w:tcW w:w="2032" w:type="pct"/>
            <w:gridSpan w:val="2"/>
            <w:vMerge w:val="restart"/>
            <w:tcBorders>
              <w:top w:val="single" w:color="000000" w:sz="4" w:space="0"/>
              <w:left w:val="single" w:color="000000" w:sz="4" w:space="0"/>
              <w:right w:val="single" w:color="000000" w:sz="4" w:space="0"/>
            </w:tcBorders>
            <w:noWrap/>
            <w:vAlign w:val="center"/>
          </w:tcPr>
          <w:p w14:paraId="62740C19">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合计</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1901002A">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1469</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56700002">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7654</w:t>
            </w:r>
          </w:p>
        </w:tc>
        <w:tc>
          <w:tcPr>
            <w:tcW w:w="1095" w:type="pct"/>
            <w:tcBorders>
              <w:top w:val="single" w:color="000000" w:sz="4" w:space="0"/>
              <w:left w:val="single" w:color="000000" w:sz="4" w:space="0"/>
              <w:bottom w:val="single" w:color="000000" w:sz="4" w:space="0"/>
              <w:right w:val="single" w:color="000000" w:sz="4" w:space="0"/>
            </w:tcBorders>
            <w:noWrap/>
            <w:vAlign w:val="center"/>
          </w:tcPr>
          <w:p w14:paraId="21BD21C6">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2313</w:t>
            </w:r>
          </w:p>
        </w:tc>
      </w:tr>
      <w:tr w14:paraId="50B22A55">
        <w:tblPrEx>
          <w:tblCellMar>
            <w:top w:w="0" w:type="dxa"/>
            <w:left w:w="108" w:type="dxa"/>
            <w:bottom w:w="0" w:type="dxa"/>
            <w:right w:w="108" w:type="dxa"/>
          </w:tblCellMar>
        </w:tblPrEx>
        <w:trPr>
          <w:trHeight w:val="20" w:hRule="atLeast"/>
        </w:trPr>
        <w:tc>
          <w:tcPr>
            <w:tcW w:w="2032" w:type="pct"/>
            <w:gridSpan w:val="2"/>
            <w:vMerge w:val="continue"/>
            <w:tcBorders>
              <w:left w:val="single" w:color="000000" w:sz="4" w:space="0"/>
              <w:bottom w:val="single" w:color="000000" w:sz="4" w:space="0"/>
              <w:right w:val="single" w:color="000000" w:sz="4" w:space="0"/>
            </w:tcBorders>
            <w:noWrap/>
            <w:vAlign w:val="center"/>
          </w:tcPr>
          <w:p w14:paraId="026568B9">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p>
        </w:tc>
        <w:tc>
          <w:tcPr>
            <w:tcW w:w="2968" w:type="pct"/>
            <w:gridSpan w:val="3"/>
            <w:tcBorders>
              <w:top w:val="single" w:color="000000" w:sz="4" w:space="0"/>
              <w:left w:val="single" w:color="000000" w:sz="4" w:space="0"/>
              <w:bottom w:val="single" w:color="000000" w:sz="4" w:space="0"/>
              <w:right w:val="single" w:color="000000" w:sz="4" w:space="0"/>
            </w:tcBorders>
            <w:noWrap/>
            <w:vAlign w:val="center"/>
          </w:tcPr>
          <w:p w14:paraId="076F3789">
            <w:pPr>
              <w:widowControl/>
              <w:spacing w:line="240" w:lineRule="auto"/>
              <w:ind w:firstLine="0" w:firstLineChars="0"/>
              <w:jc w:val="center"/>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11436</w:t>
            </w:r>
          </w:p>
        </w:tc>
      </w:tr>
    </w:tbl>
    <w:p w14:paraId="2D94485F">
      <w:pPr>
        <w:pStyle w:val="2"/>
        <w:ind w:firstLine="0" w:firstLineChars="0"/>
        <w:rPr>
          <w:rFonts w:hint="eastAsia" w:asciiTheme="minorEastAsia" w:hAnsiTheme="minorEastAsia" w:eastAsiaTheme="minorEastAsia" w:cstheme="minorEastAsia"/>
          <w:lang w:eastAsia="zh-Hans"/>
        </w:rPr>
      </w:pPr>
    </w:p>
    <w:p w14:paraId="3945391F">
      <w:pPr>
        <w:rPr>
          <w:rFonts w:hint="eastAsia" w:asciiTheme="minorEastAsia" w:hAnsiTheme="minorEastAsia" w:eastAsiaTheme="minorEastAsia" w:cstheme="minorEastAsia"/>
        </w:rPr>
      </w:pPr>
    </w:p>
    <w:sectPr>
      <w:pgSz w:w="11906" w:h="16838"/>
      <w:pgMar w:top="1418" w:right="1418" w:bottom="1418" w:left="1418"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ongti SC">
    <w:altName w:val="微软雅黑"/>
    <w:panose1 w:val="00000000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E37A6">
    <w:pPr>
      <w:pStyle w:val="2"/>
      <w:framePr w:wrap="around" w:vAnchor="text" w:hAnchor="margin" w:xAlign="center" w:y="1"/>
      <w:ind w:firstLine="360"/>
      <w:rPr>
        <w:rStyle w:val="12"/>
      </w:rPr>
    </w:pPr>
    <w:r>
      <w:rPr>
        <w:rStyle w:val="12"/>
      </w:rPr>
      <w:fldChar w:fldCharType="begin"/>
    </w:r>
    <w:r>
      <w:rPr>
        <w:rStyle w:val="12"/>
      </w:rPr>
      <w:instrText xml:space="preserve">PAGE  </w:instrText>
    </w:r>
    <w:r>
      <w:rPr>
        <w:rStyle w:val="12"/>
      </w:rPr>
      <w:fldChar w:fldCharType="separate"/>
    </w:r>
    <w:r>
      <w:rPr>
        <w:rStyle w:val="12"/>
      </w:rPr>
      <w:t>1</w:t>
    </w:r>
    <w:r>
      <w:rPr>
        <w:rStyle w:val="12"/>
      </w:rPr>
      <w:fldChar w:fldCharType="end"/>
    </w:r>
  </w:p>
  <w:p w14:paraId="55D9B6F1">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24119">
    <w:pPr>
      <w:pStyle w:val="2"/>
      <w:framePr w:wrap="around" w:vAnchor="text" w:hAnchor="margin" w:xAlign="center" w:y="1"/>
      <w:ind w:firstLine="360"/>
      <w:rPr>
        <w:rStyle w:val="12"/>
      </w:rPr>
    </w:pPr>
    <w:r>
      <w:rPr>
        <w:rStyle w:val="12"/>
      </w:rPr>
      <w:fldChar w:fldCharType="begin"/>
    </w:r>
    <w:r>
      <w:rPr>
        <w:rStyle w:val="12"/>
      </w:rPr>
      <w:instrText xml:space="preserve">PAGE  </w:instrText>
    </w:r>
    <w:r>
      <w:rPr>
        <w:rStyle w:val="12"/>
      </w:rPr>
      <w:fldChar w:fldCharType="end"/>
    </w:r>
  </w:p>
  <w:p w14:paraId="40482942">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745C3">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6FE79">
    <w:pPr>
      <w:pStyle w:val="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7C60F">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CEE50">
    <w:pPr>
      <w:pStyle w:val="6"/>
      <w:ind w:firstLine="360"/>
      <w:jc w:val="right"/>
    </w:pPr>
    <w:r>
      <w:t xml:space="preserve">                                             </w:t>
    </w:r>
    <w:r>
      <w:rPr>
        <w:rFonts w:hint="eastAsia"/>
      </w:rPr>
      <w:t>西安航天基地停车场地经营权转让</w:t>
    </w:r>
  </w:p>
  <w:p w14:paraId="2EB5054D">
    <w:pPr>
      <w:pStyle w:val="6"/>
      <w:ind w:firstLine="360"/>
      <w:jc w:val="right"/>
    </w:pPr>
    <w:r>
      <w:rPr>
        <w:rFonts w:hint="eastAsia"/>
      </w:rPr>
      <w:t>项目合作协议</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1AC71">
    <w:pPr>
      <w:pStyle w:val="6"/>
      <w:tabs>
        <w:tab w:val="left" w:pos="1147"/>
        <w:tab w:val="right" w:pos="9070"/>
      </w:tabs>
      <w:ind w:firstLine="360"/>
      <w:jc w:val="left"/>
    </w:pPr>
    <w:r>
      <w:tab/>
    </w:r>
    <w:r>
      <w:t xml:space="preserve">                       </w:t>
    </w:r>
    <w:r>
      <w:rPr>
        <w:rFonts w:hint="eastAsia"/>
      </w:rPr>
      <w:t xml:space="preserve">                </w:t>
    </w:r>
    <w:r>
      <w:t xml:space="preserve">       </w:t>
    </w:r>
    <w:r>
      <w:rPr>
        <w:rFonts w:hint="eastAsia"/>
      </w:rPr>
      <w:t>西安航天基地停车场地经营权转让项目合作协议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DFC2B8"/>
    <w:multiLevelType w:val="singleLevel"/>
    <w:tmpl w:val="73DFC2B8"/>
    <w:lvl w:ilvl="0" w:tentative="0">
      <w:start w:val="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913EE0"/>
    <w:rsid w:val="142E665C"/>
    <w:rsid w:val="2DB53770"/>
    <w:rsid w:val="393621C9"/>
    <w:rsid w:val="406F4481"/>
    <w:rsid w:val="6A467439"/>
    <w:rsid w:val="70F42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1041" w:firstLineChars="200"/>
      <w:jc w:val="both"/>
    </w:pPr>
    <w:rPr>
      <w:rFonts w:ascii="Times New Roman" w:hAnsi="Times New Roman" w:eastAsia="Songti SC" w:cs="Times New Roman"/>
      <w:kern w:val="2"/>
      <w:sz w:val="28"/>
      <w:szCs w:val="24"/>
      <w:lang w:val="en-US" w:eastAsia="zh-CN" w:bidi="ar-SA"/>
    </w:rPr>
  </w:style>
  <w:style w:type="paragraph" w:styleId="3">
    <w:name w:val="heading 1"/>
    <w:basedOn w:val="1"/>
    <w:next w:val="1"/>
    <w:qFormat/>
    <w:uiPriority w:val="9"/>
    <w:pPr>
      <w:keepNext/>
      <w:widowControl/>
      <w:jc w:val="left"/>
      <w:outlineLvl w:val="0"/>
    </w:pPr>
    <w:rPr>
      <w:rFonts w:ascii="Arial" w:hAnsi="Arial" w:cs="Arial"/>
      <w:b/>
      <w:bCs/>
      <w:kern w:val="32"/>
      <w:szCs w:val="32"/>
    </w:rPr>
  </w:style>
  <w:style w:type="paragraph" w:styleId="4">
    <w:name w:val="heading 2"/>
    <w:basedOn w:val="1"/>
    <w:next w:val="1"/>
    <w:qFormat/>
    <w:uiPriority w:val="9"/>
    <w:pPr>
      <w:keepNext/>
      <w:widowControl/>
      <w:jc w:val="left"/>
      <w:outlineLvl w:val="1"/>
    </w:pPr>
    <w:rPr>
      <w:rFonts w:cs="Arial"/>
      <w:b/>
      <w:bCs/>
      <w:iCs/>
      <w:kern w:val="0"/>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5">
    <w:name w:val="Body Text"/>
    <w:basedOn w:val="1"/>
    <w:qFormat/>
    <w:uiPriority w:val="99"/>
    <w:pPr>
      <w:jc w:val="center"/>
    </w:pPr>
    <w:rPr>
      <w:rFonts w:ascii="黑体" w:eastAsia="黑体"/>
      <w:color w:val="000000"/>
      <w:sz w:val="84"/>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style>
  <w:style w:type="paragraph" w:styleId="8">
    <w:name w:val="toc 2"/>
    <w:basedOn w:val="1"/>
    <w:next w:val="1"/>
    <w:qFormat/>
    <w:uiPriority w:val="39"/>
    <w:pPr>
      <w:ind w:left="420" w:leftChars="200"/>
    </w:pPr>
  </w:style>
  <w:style w:type="table" w:styleId="10">
    <w:name w:val="Table Grid"/>
    <w:basedOn w:val="9"/>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99"/>
  </w:style>
  <w:style w:type="character" w:styleId="13">
    <w:name w:val="Hyperlink"/>
    <w:basedOn w:val="11"/>
    <w:unhideWhenUsed/>
    <w:qFormat/>
    <w:uiPriority w:val="99"/>
    <w:rPr>
      <w:color w:val="0026E5"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69</Pages>
  <Words>22758</Words>
  <Characters>24533</Characters>
  <Lines>0</Lines>
  <Paragraphs>0</Paragraphs>
  <TotalTime>0</TotalTime>
  <ScaleCrop>false</ScaleCrop>
  <LinksUpToDate>false</LinksUpToDate>
  <CharactersWithSpaces>25439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2026-02-26T06:45:00Z</dcterms:created>
  <dc:creator>pc</dc:creator>
  <cp:lastModifiedBy>pc</cp:lastModifiedBy>
  <dcterms:modified xsi:type="dcterms:W3CDTF">2026-02-28T02:01:03Z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FB65280A92644B1F9A01A55404B02519_12</vt:lpwstr>
  </property>
</Properties>
</file>