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版本号：XAJG（ZFCG）-2026033420260413001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西安航天基地2025年第二批城市基础设施建设项目-施工图设计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XAJG（ZFCG）-20260334</w:t>
      </w:r>
      <w:r>
        <w:br/>
      </w:r>
      <w:r>
        <w:br/>
      </w:r>
      <w:r>
        <w:br/>
      </w:r>
    </w:p>
    <w:p>
      <w:pPr>
        <w:pStyle w:val="null3"/>
        <w:jc w:val="center"/>
        <w:outlineLvl w:val="2"/>
      </w:pPr>
      <w:r>
        <w:rPr>
          <w:rFonts w:ascii="仿宋_GB2312" w:hAnsi="仿宋_GB2312" w:cs="仿宋_GB2312" w:eastAsia="仿宋_GB2312"/>
          <w:sz w:val="28"/>
          <w:b/>
        </w:rPr>
        <w:t>西安国家民用航天产业基地城市更新发展服务中心</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委托，拟对</w:t>
      </w:r>
      <w:r>
        <w:rPr>
          <w:rFonts w:ascii="仿宋_GB2312" w:hAnsi="仿宋_GB2312" w:cs="仿宋_GB2312" w:eastAsia="仿宋_GB2312"/>
        </w:rPr>
        <w:t>西安航天基地2025年第二批城市基础设施建设项目-施工图设计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XAJG（ZFCG）-20260334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西安航天基地2025年第二批城市基础设施建设项目-施工图设计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包含天和一路东侧规划路（长征二路南侧规划路-长征三路北侧规划路）。长征二路南侧规划路（天和一路-天和一路东侧规划路)、长征三路北侧规划路（新和村安置地块西边线-天和一路东侧规划路）雁引路支二（长征一路-航天南路）4条市政道路的道路、雨水、污水、给水、照明、电力通信、绿化、海绵城市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3、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4、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5、书面声明：参加本次政府采购活动前三年内，在经营活动中没有重大违法记录的书面声明。</w:t>
      </w:r>
    </w:p>
    <w:p>
      <w:pPr>
        <w:pStyle w:val="null3"/>
      </w:pPr>
      <w:r>
        <w:rPr>
          <w:rFonts w:ascii="仿宋_GB2312" w:hAnsi="仿宋_GB2312" w:cs="仿宋_GB2312" w:eastAsia="仿宋_GB2312"/>
        </w:rPr>
        <w:t>6、履约能力：具备履行合同所必需的设备和专业技术能力的证明材料或书面声明。</w:t>
      </w:r>
    </w:p>
    <w:p>
      <w:pPr>
        <w:pStyle w:val="null3"/>
      </w:pPr>
      <w:r>
        <w:rPr>
          <w:rFonts w:ascii="仿宋_GB2312" w:hAnsi="仿宋_GB2312" w:cs="仿宋_GB2312" w:eastAsia="仿宋_GB2312"/>
        </w:rPr>
        <w:t>7、法定代表人身份证明或法定代表人授权书：法定代表人（主要负责人）委托代理人参加时，应提供法定代表人（主要负责人）委托授权书；法定代表人（主要负责人）亲自参加时，应提供法定代表人（主要负责人）身份证明书。</w:t>
      </w:r>
    </w:p>
    <w:p>
      <w:pPr>
        <w:pStyle w:val="null3"/>
      </w:pPr>
      <w:r>
        <w:rPr>
          <w:rFonts w:ascii="仿宋_GB2312" w:hAnsi="仿宋_GB2312" w:cs="仿宋_GB2312" w:eastAsia="仿宋_GB2312"/>
        </w:rPr>
        <w:t>8、公司资质证明：供应商须具备工程设计综合资质甲级及以上或市政行业工程设计乙级及以上或市政行业（燃气工程、轨道交通工程除外）乙级及以上资质。</w:t>
      </w:r>
    </w:p>
    <w:p>
      <w:pPr>
        <w:pStyle w:val="null3"/>
      </w:pPr>
      <w:r>
        <w:rPr>
          <w:rFonts w:ascii="仿宋_GB2312" w:hAnsi="仿宋_GB2312" w:cs="仿宋_GB2312" w:eastAsia="仿宋_GB2312"/>
        </w:rPr>
        <w:t>9、信用记录：供应商不得为“信用中国”网站（www.creditchina.gov.cn）中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10、企业关联关系：单位负责人为同一人或者存在直接控股、管理关系的不同供应商，不得同时参加本项目磋商。</w:t>
      </w:r>
    </w:p>
    <w:p>
      <w:pPr>
        <w:pStyle w:val="null3"/>
      </w:pPr>
      <w:r>
        <w:rPr>
          <w:rFonts w:ascii="仿宋_GB2312" w:hAnsi="仿宋_GB2312" w:cs="仿宋_GB2312" w:eastAsia="仿宋_GB2312"/>
        </w:rPr>
        <w:t>11、不接受联合体：项目不接受联合体投标（提供承诺书）。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航天中路东段398号寰宇大厦西侧原垃圾压缩站旧址</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62651178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西安市碑林区炮房街48号盈栋大厦6楼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牛超、丁雨昕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代理服务费收费标准：以招标各项目（子项）的中标价为基数，招标代理（政府采购）服务费根据国家发展改革委发改价格【2011】534号文、国家计委计价格【2002】1980号文规定计算后按 42% 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现行的《市政公用工程设计文件编制深度规定》等相关标准，同时应满足省、市有关部门报批报建及施工图报审规定的深度要求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联系人：牛超、丁雨昕</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地址：西安市碑林区炮房街48号盈栋大厦6楼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包含天和一路东侧规划路（长征二路南侧规划路-长征三路北侧规划路）。长征二路南侧规划路（天和一路-天和一路东侧规划路)、长征三路北侧规划路（新和村安置地块西边线-天和一路东侧规划路）雁引路支二（长征一路-航天南路）4条市政道路的道路、雨水、污水、给水、照明、电力通信、绿化、海绵城市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608,800.00</w:t>
      </w:r>
    </w:p>
    <w:p>
      <w:pPr>
        <w:pStyle w:val="null3"/>
      </w:pPr>
      <w:r>
        <w:rPr>
          <w:rFonts w:ascii="仿宋_GB2312" w:hAnsi="仿宋_GB2312" w:cs="仿宋_GB2312" w:eastAsia="仿宋_GB2312"/>
        </w:rPr>
        <w:t>采购包最高限价（元）: 608,800.00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西安航天基地2025年第二批城市基础设施建设项目施工图设计服务采购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608,800.00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标的名称：西安航天基地2025年第二批城市基础设施建设项目施工图设计服务采购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jc w:val="left"/>
            </w:pPr>
            <w:r>
              <w:rPr>
                <w:rFonts w:ascii="仿宋_GB2312" w:hAnsi="仿宋_GB2312" w:cs="仿宋_GB2312" w:eastAsia="仿宋_GB2312"/>
              </w:rPr>
              <w:t>西安航天基地</w:t>
            </w:r>
            <w:r>
              <w:rPr>
                <w:rFonts w:ascii="仿宋_GB2312" w:hAnsi="仿宋_GB2312" w:cs="仿宋_GB2312" w:eastAsia="仿宋_GB2312"/>
              </w:rPr>
              <w:t>2025年第二批城市基础设施建设项目包含四条新建市政道路：天和一路东侧规划路（长征二路南侧规划路-长征三路北侧规划路）长度212米、长征二路南侧规划路（天和一路-天和一路东侧规划路）长度231米、长征三路北侧规划路（新和村安置地块西边线-天和一路东侧规划路-）长度481米、雁引路支二（长征一路-航天南路）长度653米；包含专业：道路、交通、雨水、污水、给水、电力通信线缆沟、照明、绿化以及海绵城市等。</w:t>
            </w:r>
          </w:p>
          <w:p>
            <w:pPr>
              <w:pStyle w:val="null3"/>
              <w:jc w:val="left"/>
            </w:pPr>
            <w:r>
              <w:rPr>
                <w:rFonts w:ascii="仿宋_GB2312" w:hAnsi="仿宋_GB2312" w:cs="仿宋_GB2312" w:eastAsia="仿宋_GB2312"/>
              </w:rPr>
              <w:t>二、服务内容</w:t>
            </w:r>
          </w:p>
          <w:p>
            <w:pPr>
              <w:pStyle w:val="null3"/>
              <w:jc w:val="left"/>
            </w:pPr>
            <w:r>
              <w:rPr>
                <w:rFonts w:ascii="仿宋_GB2312" w:hAnsi="仿宋_GB2312" w:cs="仿宋_GB2312" w:eastAsia="仿宋_GB2312"/>
              </w:rPr>
              <w:t>西安航天基地</w:t>
            </w:r>
            <w:r>
              <w:rPr>
                <w:rFonts w:ascii="仿宋_GB2312" w:hAnsi="仿宋_GB2312" w:cs="仿宋_GB2312" w:eastAsia="仿宋_GB2312"/>
              </w:rPr>
              <w:t>2025年第二批城市基础设施建设项目-施工图设计：根据相关资料，对接相关行业主管和管理部门，编制施工图设计成果，满足国家有关规定，并全程协助配合甲方推进本项目涉及的相关审批工作，进行技术支持并参与评审、汇报等工作。并依据合同进行结算。</w:t>
            </w:r>
          </w:p>
          <w:p>
            <w:pPr>
              <w:pStyle w:val="null3"/>
              <w:jc w:val="left"/>
            </w:pPr>
            <w:r>
              <w:rPr>
                <w:rFonts w:ascii="仿宋_GB2312" w:hAnsi="仿宋_GB2312" w:cs="仿宋_GB2312" w:eastAsia="仿宋_GB2312"/>
              </w:rPr>
              <w:t>三、商务要求</w:t>
            </w:r>
          </w:p>
          <w:p>
            <w:pPr>
              <w:pStyle w:val="null3"/>
              <w:jc w:val="left"/>
            </w:pPr>
            <w:r>
              <w:rPr>
                <w:rFonts w:ascii="仿宋_GB2312" w:hAnsi="仿宋_GB2312" w:cs="仿宋_GB2312" w:eastAsia="仿宋_GB2312"/>
              </w:rPr>
              <w:t>（一）服务期限</w:t>
            </w:r>
          </w:p>
          <w:p>
            <w:pPr>
              <w:pStyle w:val="null3"/>
              <w:jc w:val="left"/>
            </w:pPr>
            <w:r>
              <w:rPr>
                <w:rFonts w:ascii="仿宋_GB2312" w:hAnsi="仿宋_GB2312" w:cs="仿宋_GB2312" w:eastAsia="仿宋_GB2312"/>
              </w:rPr>
              <w:t>服务期限：自合同签订之日起至施工图设计审批完成止。</w:t>
            </w:r>
          </w:p>
          <w:p>
            <w:pPr>
              <w:pStyle w:val="null3"/>
              <w:jc w:val="left"/>
            </w:pPr>
            <w:r>
              <w:rPr>
                <w:rFonts w:ascii="仿宋_GB2312" w:hAnsi="仿宋_GB2312" w:cs="仿宋_GB2312" w:eastAsia="仿宋_GB2312"/>
              </w:rPr>
              <w:t>(二)款项结算</w:t>
            </w:r>
          </w:p>
          <w:p>
            <w:pPr>
              <w:pStyle w:val="null3"/>
              <w:jc w:val="left"/>
            </w:pPr>
            <w:r>
              <w:rPr>
                <w:rFonts w:ascii="仿宋_GB2312" w:hAnsi="仿宋_GB2312" w:cs="仿宋_GB2312" w:eastAsia="仿宋_GB2312"/>
              </w:rPr>
              <w:t>完成项目施工图设计成果并通过审查后，支付合同总价的</w:t>
            </w:r>
            <w:r>
              <w:rPr>
                <w:rFonts w:ascii="仿宋_GB2312" w:hAnsi="仿宋_GB2312" w:cs="仿宋_GB2312" w:eastAsia="仿宋_GB2312"/>
              </w:rPr>
              <w:t>80%，项目竣工后支付剩余20%。</w:t>
            </w:r>
          </w:p>
          <w:p>
            <w:pPr>
              <w:pStyle w:val="null3"/>
              <w:jc w:val="left"/>
            </w:pPr>
            <w:r>
              <w:rPr>
                <w:rFonts w:ascii="仿宋_GB2312" w:hAnsi="仿宋_GB2312" w:cs="仿宋_GB2312" w:eastAsia="仿宋_GB2312"/>
              </w:rPr>
              <w:t>四、其他</w:t>
            </w:r>
          </w:p>
          <w:p>
            <w:pPr>
              <w:pStyle w:val="null3"/>
              <w:jc w:val="left"/>
            </w:pPr>
            <w:r>
              <w:rPr>
                <w:rFonts w:ascii="仿宋_GB2312" w:hAnsi="仿宋_GB2312" w:cs="仿宋_GB2312" w:eastAsia="仿宋_GB2312"/>
              </w:rPr>
              <w:t>（一）质量验收标准或规范</w:t>
            </w:r>
          </w:p>
          <w:p>
            <w:pPr>
              <w:pStyle w:val="null3"/>
              <w:jc w:val="left"/>
            </w:pPr>
            <w:r>
              <w:rPr>
                <w:rFonts w:ascii="仿宋_GB2312" w:hAnsi="仿宋_GB2312" w:cs="仿宋_GB2312" w:eastAsia="仿宋_GB2312"/>
              </w:rPr>
              <w:t>包括但不限于《市政公用工程设计文件编制深度规定</w:t>
            </w:r>
            <w:r>
              <w:rPr>
                <w:rFonts w:ascii="仿宋_GB2312" w:hAnsi="仿宋_GB2312" w:cs="仿宋_GB2312" w:eastAsia="仿宋_GB2312"/>
              </w:rPr>
              <w:t>(2025 版)》及现行的国家标准或国家行政部门颁布的法律法规、规章制度等行业标准。</w:t>
            </w:r>
          </w:p>
          <w:p>
            <w:pPr>
              <w:pStyle w:val="null3"/>
              <w:jc w:val="left"/>
            </w:pPr>
            <w:r>
              <w:rPr>
                <w:rFonts w:ascii="仿宋_GB2312" w:hAnsi="仿宋_GB2312" w:cs="仿宋_GB2312" w:eastAsia="仿宋_GB2312"/>
              </w:rPr>
              <w:t>(二)违约责任</w:t>
            </w:r>
          </w:p>
          <w:p>
            <w:pPr>
              <w:pStyle w:val="null3"/>
              <w:jc w:val="left"/>
            </w:pPr>
            <w:r>
              <w:rPr>
                <w:rFonts w:ascii="仿宋_GB2312" w:hAnsi="仿宋_GB2312" w:cs="仿宋_GB2312" w:eastAsia="仿宋_GB2312"/>
              </w:rPr>
              <w:t>一般与合同款项的支付相关，注意不要超出《民法典》中对于违约的责任上限。</w:t>
            </w:r>
          </w:p>
          <w:p>
            <w:pPr>
              <w:pStyle w:val="null3"/>
            </w:pPr>
            <w:r>
              <w:rPr>
                <w:rFonts w:ascii="仿宋_GB2312" w:hAnsi="仿宋_GB2312" w:cs="仿宋_GB2312" w:eastAsia="仿宋_GB2312"/>
                <w:sz w:val="21"/>
                <w:color w:val="000000"/>
              </w:rPr>
              <w:t>本合同履行过程中，如乙方违约，乙方应按甲方要求采取改正措施，并承担相应责任，甲方有索赔相关费用的权利；如乙方严重违约致使合同目的无法实现的，甲方有权解除、终止合同，乙方应赔偿甲方相应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自合同签订之日起至施工图设计审批完成止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委托人指定地点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经发包人及代建单位审核满足现行的《市政公用工程设计文件编制深度规定》等相关标准，同时应满足省、市有关部门报批报建及施工图报审规定的深度要求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施工图设计经发包人及代建单位审核接收后，并配合相关部门审批后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 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近三年无重大违法、违纪书面声明.docx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供应商资格证明文件.docx 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法定代表人（主要负责人）委托代理人参加时，应提供法定代表人（主要负责人）委托授权书；法定代表人（主要负责人）亲自参加时，应提供法定代表人（主要负责人）身份证明书。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法定代表人身份证明法定代表人授权书.docx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公司资质证明</w:t>
            </w:r>
          </w:p>
        </w:tc>
        <w:tc>
          <w:tcPr>
            <w:tcW w:type="dxa" w:w="3322"/>
          </w:tcPr>
          <w:p>
            <w:pPr>
              <w:pStyle w:val="null3"/>
            </w:pPr>
            <w:r>
              <w:rPr>
                <w:rFonts w:ascii="仿宋_GB2312" w:hAnsi="仿宋_GB2312" w:cs="仿宋_GB2312" w:eastAsia="仿宋_GB2312"/>
              </w:rPr>
              <w:t>供应商须具备工程设计综合资质甲级及以上或市政行业工程设计乙级及以上或市政行业（燃气工程、轨道交通工程除外）乙级及以上资质。</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关联关系承诺书.docx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项目不接受联合体投标（提供承诺书）。</w:t>
            </w:r>
          </w:p>
        </w:tc>
        <w:tc>
          <w:tcPr>
            <w:tcW w:type="dxa" w:w="1661"/>
          </w:tcPr>
          <w:p>
            <w:pPr>
              <w:pStyle w:val="null3"/>
            </w:pPr>
            <w:r>
              <w:rPr>
                <w:rFonts w:ascii="仿宋_GB2312" w:hAnsi="仿宋_GB2312" w:cs="仿宋_GB2312" w:eastAsia="仿宋_GB2312"/>
              </w:rPr>
              <w:t>供应商资格证明文件.docx 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磋商响应单位名称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服务内容及服务邀请应答表 中小企业声明函 商务应答表 类似业绩情况.docx 供应商应提交的相关资格证明材料 报价表 响应文件封面 分项报价表.docx 法定代表人身份证明法定代表人授权书.docx 残疾人福利性单位声明函 服务方案 标的清单 供应商资格证明文件.docx 响应函 近三年无重大违法、违纪书面声明.docx 本项目不接受联合体.docx 履行合同所必需的设备和专业技术能力的说明及承诺.docx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分项报价表.docx 法定代表人身份证明法定代表人授权书.docx 残疾人福利性单位声明函 标的清单 供应商资格证明文件.docx 响应函 近三年无重大违法、违纪书面声明.docx 本项目不接受联合体.docx 履行合同所必需的设备和专业技术能力的说明及承诺.docx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按磋商文件要求报价，不得提交选择性报价；报价唯一，并未超过磋商最高限价</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服务内容及服务邀请应答表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整体设计方案思路</w:t>
            </w:r>
          </w:p>
        </w:tc>
        <w:tc>
          <w:tcPr>
            <w:tcW w:type="dxa" w:w="2492"/>
          </w:tcPr>
          <w:p>
            <w:pPr>
              <w:pStyle w:val="null3"/>
            </w:pPr>
            <w:r>
              <w:rPr>
                <w:rFonts w:ascii="仿宋_GB2312" w:hAnsi="仿宋_GB2312" w:cs="仿宋_GB2312" w:eastAsia="仿宋_GB2312"/>
              </w:rPr>
              <w:t>针对本项目设计目标、规模、内容理解透彻，能对采购人的需求提供详细的整体设计方案,理念新颖、思路清晰。整体设计方案工作思路清晰、技术路线明确、任务分解合理得7.1-10分；整体设计方案工作思路较为清晰、技术路线较为明确、任务分解较为合理得4.1-7分；整体设计方案工作思路混乱、技术路线不明确、任务分解不合理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各个阶段的设计工作及各专业施工图设计、审图、审核备案等有针对性的实施方法，实施方案思路清晰、方法先进、任务分解合理7.1-10分；实施方案思路较为清晰、方法较为先进、任务分解较为合理得4.1-7分；实施方案工作思路混乱、任务分解不合理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具备详细、可行的管理制度，完善、合理的程序，严谨的设计方案和图纸编制、审核流程。阐述确保检查结果质量的保障措施，要求措施具体详细、可行。内容的全面可行，科学详细，内容清晰得7.1-10分；内容的较全面，较详细得4.1-7分；内容一般的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设计进度计划及控制措施</w:t>
            </w:r>
          </w:p>
        </w:tc>
        <w:tc>
          <w:tcPr>
            <w:tcW w:type="dxa" w:w="2492"/>
          </w:tcPr>
          <w:p>
            <w:pPr>
              <w:pStyle w:val="null3"/>
            </w:pPr>
            <w:r>
              <w:rPr>
                <w:rFonts w:ascii="仿宋_GB2312" w:hAnsi="仿宋_GB2312" w:cs="仿宋_GB2312" w:eastAsia="仿宋_GB2312"/>
              </w:rPr>
              <w:t>提供满足采购需求的时间进度安排一览表或说明，要求时间进度安排详细完善、科学、合理。详细完善、科学、合理的时间保证措施。得7.1-9分；较完善、科学、合理的时间保证措施得4.1-7分；提供的时间保证措施不全或内容简单得1-4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工程限额设计控制措施</w:t>
            </w:r>
          </w:p>
        </w:tc>
        <w:tc>
          <w:tcPr>
            <w:tcW w:type="dxa" w:w="2492"/>
          </w:tcPr>
          <w:p>
            <w:pPr>
              <w:pStyle w:val="null3"/>
            </w:pPr>
            <w:r>
              <w:rPr>
                <w:rFonts w:ascii="仿宋_GB2312" w:hAnsi="仿宋_GB2312" w:cs="仿宋_GB2312" w:eastAsia="仿宋_GB2312"/>
              </w:rPr>
              <w:t>具备详细、可行的管理制度，完善、合理的程序，严谨的设计工程限额设计控制合理可行，措施有力，根据响应情况得7.1-10分；工程限额设计控制较为合理可行，措施一般得4.1-7分；工程限额设计控制基本合理可行，措施一般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对本项目内容，重点难点理解深刻到位、分析全面，应对措施科学合理、有针对性、可实施性得6.1-8分；重点难点分析基本全面，应对措施合理，有一定可实施性得3.1-6分；重点难点分析不到位，应对措施简单得1-3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供应商针对本项目有具体可行的团队配置方案，包括但不限于：①团队人员组织架构安排②团队人员的岗位职责③人员配置合理，有丰富的项目经验。 二、评审标准：方案各部分内容全面详细、阐述条理清晰详尽、科学合理、切实可行、符合本项目采购需求得9分；评审内容每缺一项扣3分；评审内容有缺陷（缺陷是指：内容粗略、逻辑混乱、描述过于简单、与项目特点不匹配、凭空编造、逻辑漏洞、出现常识性错误、存在不适用项目实际情况的情形或只有标题没有实质性内容等。）的每项扣0.1-2.9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1.对采购内容的相关技术质量进度要求、时限要求、设计质量与时效等做出承诺，根据内容详尽程度赋1-3分； 2.对后期服务等相关内容做出承诺，内容全面，赋1-2分。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后期配合服务</w:t>
            </w:r>
          </w:p>
        </w:tc>
        <w:tc>
          <w:tcPr>
            <w:tcW w:type="dxa" w:w="2492"/>
          </w:tcPr>
          <w:p>
            <w:pPr>
              <w:pStyle w:val="null3"/>
            </w:pPr>
            <w:r>
              <w:rPr>
                <w:rFonts w:ascii="仿宋_GB2312" w:hAnsi="仿宋_GB2312" w:cs="仿宋_GB2312" w:eastAsia="仿宋_GB2312"/>
              </w:rPr>
              <w:t>一、评审内容 针对本项目有配合服务工作计划及保证措施，包括但不限于以下方面①配合服务工作计划；②内部团队人员之间的配合;③与采购人之间的配合及服务承诺。 二、评审标准：方案各部分内容全面详细、阐述条理清晰详尽、科学合理、切实可行、符合本项目采购需求得9分；评审内容每缺一项扣3分；评审内容有缺陷（缺陷是指：内容粗略、逻辑混乱、描述过于简单、与项目特点不匹配、凭空编造、逻辑漏洞、出现常识性错误、存在不适用项目实际情况的情形或只有标题没有实质性内容等。）的每项扣0.1-2.9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具有类似设计业绩（以合同复印件加盖公章为依据）。每提供一个业绩得2分，满分10分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类似业绩情况.docx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经资格评审、符合性评审均合格的响应文件，其磋商报价为有效的磋商报价。 评标基准价：满足磋商文件要求且磋商价格最低的磋商报价为评标基准价。 其他供应商的价格分统一按照下列公式计算 磋商报价得分=（评标基准价/最终报价）×10（价格权值）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详见附件：法定代表人身份证明法定代表人授权书.docx</w:t>
      </w:r>
    </w:p>
    <w:p>
      <w:pPr>
        <w:pStyle w:val="null3"/>
        <w:ind w:firstLine="960"/>
      </w:pPr>
      <w:r>
        <w:rPr>
          <w:rFonts w:ascii="仿宋_GB2312" w:hAnsi="仿宋_GB2312" w:cs="仿宋_GB2312" w:eastAsia="仿宋_GB2312"/>
        </w:rPr>
        <w:t>详见附件：履行合同所必需的设备和专业技术能力的说明及承诺.docx</w:t>
      </w:r>
    </w:p>
    <w:p>
      <w:pPr>
        <w:pStyle w:val="null3"/>
        <w:ind w:firstLine="960"/>
      </w:pPr>
      <w:r>
        <w:rPr>
          <w:rFonts w:ascii="仿宋_GB2312" w:hAnsi="仿宋_GB2312" w:cs="仿宋_GB2312" w:eastAsia="仿宋_GB2312"/>
        </w:rPr>
        <w:t>详见附件：近三年无重大违法、违纪书面声明.docx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详见附件：类似业绩情况.docx</w:t>
      </w:r>
    </w:p>
    <w:p>
      <w:pPr>
        <w:pStyle w:val="null3"/>
        <w:ind w:firstLine="960"/>
      </w:pPr>
      <w:r>
        <w:rPr>
          <w:rFonts w:ascii="仿宋_GB2312" w:hAnsi="仿宋_GB2312" w:cs="仿宋_GB2312" w:eastAsia="仿宋_GB2312"/>
        </w:rPr>
        <w:t>详见附件：关联关系承诺书.docx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