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版本号：SZT2026-SN-QC-ZC-FW-019520260414001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土地评估机构采购项目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SZT2026-SN-QC-ZC-FW-0195</w:t>
      </w:r>
      <w:r>
        <w:br/>
      </w:r>
      <w:r>
        <w:br/>
      </w:r>
      <w:r>
        <w:br/>
      </w:r>
    </w:p>
    <w:p>
      <w:pPr>
        <w:pStyle w:val="null3"/>
        <w:jc w:val="center"/>
        <w:outlineLvl w:val="2"/>
      </w:pPr>
      <w:r>
        <w:rPr>
          <w:rFonts w:ascii="仿宋_GB2312" w:hAnsi="仿宋_GB2312" w:cs="仿宋_GB2312" w:eastAsia="仿宋_GB2312"/>
          <w:sz w:val="28"/>
          <w:b/>
        </w:rPr>
        <w:t>西安国家民用航天产业基地土地储备中心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西安国家民用航天产业基地土地储备中心</w:t>
      </w:r>
      <w:r>
        <w:rPr>
          <w:rFonts w:ascii="仿宋_GB2312" w:hAnsi="仿宋_GB2312" w:cs="仿宋_GB2312" w:eastAsia="仿宋_GB2312"/>
        </w:rPr>
        <w:t>委托，拟对</w:t>
      </w:r>
      <w:r>
        <w:rPr>
          <w:rFonts w:ascii="仿宋_GB2312" w:hAnsi="仿宋_GB2312" w:cs="仿宋_GB2312" w:eastAsia="仿宋_GB2312"/>
        </w:rPr>
        <w:t>土地评估机构采购项目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SZT2026-SN-QC-ZC-FW-0195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土地评估机构采购项目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西安市自然资源和规划局国家民用航天产业基地分局范围内宗地提供土地评估服务。按采购人指定的宗地范围，遵循公正公平、公开的原则和科学的评估方法，按国家规定，向采购人出具符合规范要求的评估报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采购包1（土地评估机构采购项目）：属于专门面向中小企业采购。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1、供应商资质：具备自然资源行政主管部门关于土地估价机构的备案函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航天中路寰宇大厦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029-81551064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杨艳、李毓菲、陈先德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代理服务费收费标准：参照国家计委颁布的《招标代理服务收费管理暂行办法》（计价格[2002]1980号）和（发改办价格[2003]857号）中服务类收费标准收取。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西安国家民用航天产业基地土地储备中心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联系电话：戴经理</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为西安市自然资源和规划局国家民用航天产业基地分局范围内宗地提供土地评估服务。</w:t>
      </w:r>
      <w:r>
        <w:rPr>
          <w:rFonts w:ascii="仿宋_GB2312" w:hAnsi="仿宋_GB2312" w:cs="仿宋_GB2312" w:eastAsia="仿宋_GB2312"/>
          <w:sz w:val="21"/>
        </w:rPr>
        <w:t>按</w:t>
      </w:r>
      <w:r>
        <w:rPr>
          <w:rFonts w:ascii="仿宋_GB2312" w:hAnsi="仿宋_GB2312" w:cs="仿宋_GB2312" w:eastAsia="仿宋_GB2312"/>
          <w:sz w:val="21"/>
        </w:rPr>
        <w:t>采购人</w:t>
      </w:r>
      <w:r>
        <w:rPr>
          <w:rFonts w:ascii="仿宋_GB2312" w:hAnsi="仿宋_GB2312" w:cs="仿宋_GB2312" w:eastAsia="仿宋_GB2312"/>
          <w:sz w:val="21"/>
        </w:rPr>
        <w:t>指定的宗地范围，遵循公正公平、公开的原则和科学的评估方法，按国家规定，向</w:t>
      </w:r>
      <w:r>
        <w:rPr>
          <w:rFonts w:ascii="仿宋_GB2312" w:hAnsi="仿宋_GB2312" w:cs="仿宋_GB2312" w:eastAsia="仿宋_GB2312"/>
          <w:sz w:val="21"/>
        </w:rPr>
        <w:t>采购人</w:t>
      </w:r>
      <w:r>
        <w:rPr>
          <w:rFonts w:ascii="仿宋_GB2312" w:hAnsi="仿宋_GB2312" w:cs="仿宋_GB2312" w:eastAsia="仿宋_GB2312"/>
          <w:sz w:val="21"/>
        </w:rPr>
        <w:t>出具符合规范要求的评估报告</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土地评估机构采购项目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标的名称：土地评估机构采购项目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一、采购需求</w:t>
            </w:r>
          </w:p>
          <w:p>
            <w:pPr>
              <w:pStyle w:val="null3"/>
              <w:ind w:firstLine="400"/>
            </w:pPr>
            <w:r>
              <w:rPr>
                <w:rFonts w:ascii="仿宋_GB2312" w:hAnsi="仿宋_GB2312" w:cs="仿宋_GB2312" w:eastAsia="仿宋_GB2312"/>
              </w:rPr>
              <w:t>1、采购需求</w:t>
            </w:r>
          </w:p>
          <w:p>
            <w:pPr>
              <w:pStyle w:val="null3"/>
              <w:ind w:firstLine="400"/>
            </w:pPr>
            <w:r>
              <w:rPr>
                <w:rFonts w:ascii="仿宋_GB2312" w:hAnsi="仿宋_GB2312" w:cs="仿宋_GB2312" w:eastAsia="仿宋_GB2312"/>
              </w:rPr>
              <w:t>为西安市自然资源和规划局国家民用航天产业基地分局范围内宗地提供土地评估服务。</w:t>
            </w:r>
            <w:r>
              <w:rPr>
                <w:rFonts w:ascii="仿宋_GB2312" w:hAnsi="仿宋_GB2312" w:cs="仿宋_GB2312" w:eastAsia="仿宋_GB2312"/>
              </w:rPr>
              <w:t>按</w:t>
            </w:r>
            <w:r>
              <w:rPr>
                <w:rFonts w:ascii="仿宋_GB2312" w:hAnsi="仿宋_GB2312" w:cs="仿宋_GB2312" w:eastAsia="仿宋_GB2312"/>
              </w:rPr>
              <w:t>采购人</w:t>
            </w:r>
            <w:r>
              <w:rPr>
                <w:rFonts w:ascii="仿宋_GB2312" w:hAnsi="仿宋_GB2312" w:cs="仿宋_GB2312" w:eastAsia="仿宋_GB2312"/>
              </w:rPr>
              <w:t>指定的宗地范围，遵循公正公平、公开的原则和科学的评估方法，按国家规定，向</w:t>
            </w:r>
            <w:r>
              <w:rPr>
                <w:rFonts w:ascii="仿宋_GB2312" w:hAnsi="仿宋_GB2312" w:cs="仿宋_GB2312" w:eastAsia="仿宋_GB2312"/>
              </w:rPr>
              <w:t>采购人</w:t>
            </w:r>
            <w:r>
              <w:rPr>
                <w:rFonts w:ascii="仿宋_GB2312" w:hAnsi="仿宋_GB2312" w:cs="仿宋_GB2312" w:eastAsia="仿宋_GB2312"/>
              </w:rPr>
              <w:t>出具符合规范要求的评估报告。</w:t>
            </w:r>
          </w:p>
          <w:p>
            <w:pPr>
              <w:pStyle w:val="null3"/>
              <w:ind w:firstLine="400"/>
            </w:pPr>
            <w:r>
              <w:rPr>
                <w:rFonts w:ascii="仿宋_GB2312" w:hAnsi="仿宋_GB2312" w:cs="仿宋_GB2312" w:eastAsia="仿宋_GB2312"/>
              </w:rPr>
              <w:t>2、评估依据及标准</w:t>
            </w:r>
          </w:p>
          <w:p>
            <w:pPr>
              <w:pStyle w:val="null3"/>
              <w:ind w:firstLine="400"/>
            </w:pPr>
            <w:r>
              <w:rPr>
                <w:rFonts w:ascii="仿宋_GB2312" w:hAnsi="仿宋_GB2312" w:cs="仿宋_GB2312" w:eastAsia="仿宋_GB2312"/>
              </w:rPr>
              <w:t>包含但不限于下列内容</w:t>
            </w:r>
            <w:r>
              <w:rPr>
                <w:rFonts w:ascii="仿宋_GB2312" w:hAnsi="仿宋_GB2312" w:cs="仿宋_GB2312" w:eastAsia="仿宋_GB2312"/>
              </w:rPr>
              <w:t>:</w:t>
            </w:r>
          </w:p>
          <w:p>
            <w:pPr>
              <w:pStyle w:val="null3"/>
              <w:ind w:firstLine="400"/>
            </w:pPr>
            <w:r>
              <w:rPr>
                <w:rFonts w:ascii="仿宋_GB2312" w:hAnsi="仿宋_GB2312" w:cs="仿宋_GB2312" w:eastAsia="仿宋_GB2312"/>
              </w:rPr>
              <w:t>(1)《中华人民共和国土地管理法》:</w:t>
            </w:r>
          </w:p>
          <w:p>
            <w:pPr>
              <w:pStyle w:val="null3"/>
              <w:ind w:firstLine="400"/>
            </w:pPr>
            <w:r>
              <w:rPr>
                <w:rFonts w:ascii="仿宋_GB2312" w:hAnsi="仿宋_GB2312" w:cs="仿宋_GB2312" w:eastAsia="仿宋_GB2312"/>
              </w:rPr>
              <w:t>(2)符合《国有建设用地使用权出让地价评估技术规范》要求:</w:t>
            </w:r>
          </w:p>
          <w:p>
            <w:pPr>
              <w:pStyle w:val="null3"/>
              <w:ind w:firstLine="400"/>
            </w:pPr>
            <w:r>
              <w:rPr>
                <w:rFonts w:ascii="仿宋_GB2312" w:hAnsi="仿宋_GB2312" w:cs="仿宋_GB2312" w:eastAsia="仿宋_GB2312"/>
              </w:rPr>
              <w:t>(3)符合中华人民共和国国家标准《城镇土地估价规程》(GB/T18508-2014).</w:t>
            </w:r>
          </w:p>
          <w:p>
            <w:pPr>
              <w:pStyle w:val="null3"/>
              <w:ind w:firstLine="400"/>
            </w:pPr>
            <w:r>
              <w:rPr>
                <w:rFonts w:ascii="仿宋_GB2312" w:hAnsi="仿宋_GB2312" w:cs="仿宋_GB2312" w:eastAsia="仿宋_GB2312"/>
              </w:rPr>
              <w:t>3、成果编制</w:t>
            </w:r>
          </w:p>
          <w:p>
            <w:pPr>
              <w:pStyle w:val="null3"/>
              <w:ind w:firstLine="400"/>
            </w:pPr>
            <w:r>
              <w:rPr>
                <w:rFonts w:ascii="仿宋_GB2312" w:hAnsi="仿宋_GB2312" w:cs="仿宋_GB2312" w:eastAsia="仿宋_GB2312"/>
              </w:rPr>
              <w:t>根据《中华人民共和国土地管理法》、《国有建设用地使用权出让地价评估技术规范》、《城镇土地估价规程》</w:t>
            </w:r>
            <w:r>
              <w:rPr>
                <w:rFonts w:ascii="仿宋_GB2312" w:hAnsi="仿宋_GB2312" w:cs="仿宋_GB2312" w:eastAsia="仿宋_GB2312"/>
              </w:rPr>
              <w:t>(GB/T 18508-2014)等文件要求，编制</w:t>
            </w:r>
            <w:r>
              <w:rPr>
                <w:rFonts w:ascii="仿宋_GB2312" w:hAnsi="仿宋_GB2312" w:cs="仿宋_GB2312" w:eastAsia="仿宋_GB2312"/>
              </w:rPr>
              <w:t>采购人</w:t>
            </w:r>
            <w:r>
              <w:rPr>
                <w:rFonts w:ascii="仿宋_GB2312" w:hAnsi="仿宋_GB2312" w:cs="仿宋_GB2312" w:eastAsia="仿宋_GB2312"/>
              </w:rPr>
              <w:t>指定的宗地范围的评估报告。</w:t>
            </w:r>
          </w:p>
          <w:p>
            <w:pPr>
              <w:pStyle w:val="null3"/>
              <w:ind w:firstLine="400"/>
            </w:pPr>
            <w:r>
              <w:rPr>
                <w:rFonts w:ascii="仿宋_GB2312" w:hAnsi="仿宋_GB2312" w:cs="仿宋_GB2312" w:eastAsia="仿宋_GB2312"/>
              </w:rPr>
              <w:t>4、技术要求</w:t>
            </w:r>
          </w:p>
          <w:p>
            <w:pPr>
              <w:pStyle w:val="null3"/>
              <w:ind w:firstLine="400"/>
            </w:pPr>
            <w:r>
              <w:rPr>
                <w:rFonts w:ascii="仿宋_GB2312" w:hAnsi="仿宋_GB2312" w:cs="仿宋_GB2312" w:eastAsia="仿宋_GB2312"/>
              </w:rPr>
              <w:t>(1)接到委托项目通知，必须按约定时间及时与采购人联系。按照</w:t>
            </w:r>
            <w:r>
              <w:rPr>
                <w:rFonts w:ascii="仿宋_GB2312" w:hAnsi="仿宋_GB2312" w:cs="仿宋_GB2312" w:eastAsia="仿宋_GB2312"/>
              </w:rPr>
              <w:t>采购人</w:t>
            </w:r>
            <w:r>
              <w:rPr>
                <w:rFonts w:ascii="仿宋_GB2312" w:hAnsi="仿宋_GB2312" w:cs="仿宋_GB2312" w:eastAsia="仿宋_GB2312"/>
              </w:rPr>
              <w:t>要求，按时提交土地评估报告并确保出具的《土地估价报告》等估价成果并保证技术服务成果的科学性、合理性、准确性，符合审查审批要求，履行备案。</w:t>
            </w:r>
          </w:p>
          <w:p>
            <w:pPr>
              <w:pStyle w:val="null3"/>
              <w:ind w:firstLine="400"/>
            </w:pPr>
            <w:r>
              <w:rPr>
                <w:rFonts w:ascii="仿宋_GB2312" w:hAnsi="仿宋_GB2312" w:cs="仿宋_GB2312" w:eastAsia="仿宋_GB2312"/>
              </w:rPr>
              <w:t>(2) 要求成果符合《城镇土地估价规程》(GB/T18508-2014)、《国土资源部办公厅关于发布(国有建设用地使用权出让地价评估技术规范)的通知》(国土资厅发(2018)4 号)、《国土资源部、财政部、中国人民银行、中国银行业监督管理委员会关于印发&lt;土地储备管理办法&gt;的通知》(国土资规(2017)17号)等国家、陕西省、西安市规程、政策、规范性文件要求。</w:t>
            </w:r>
          </w:p>
          <w:p>
            <w:pPr>
              <w:pStyle w:val="null3"/>
              <w:ind w:firstLine="400"/>
            </w:pPr>
            <w:r>
              <w:rPr>
                <w:rFonts w:ascii="仿宋_GB2312" w:hAnsi="仿宋_GB2312" w:cs="仿宋_GB2312" w:eastAsia="仿宋_GB2312"/>
              </w:rPr>
              <w:t>(3)其它内容以采购人要求及双方签订的合同中规定内容为准。</w:t>
            </w:r>
          </w:p>
          <w:p>
            <w:pPr>
              <w:pStyle w:val="null3"/>
              <w:ind w:firstLine="400"/>
            </w:pPr>
            <w:r>
              <w:rPr>
                <w:rFonts w:ascii="仿宋_GB2312" w:hAnsi="仿宋_GB2312" w:cs="仿宋_GB2312" w:eastAsia="仿宋_GB2312"/>
              </w:rPr>
              <w:t>5、成果交付</w:t>
            </w:r>
          </w:p>
          <w:p>
            <w:pPr>
              <w:pStyle w:val="null3"/>
              <w:ind w:firstLine="400"/>
            </w:pPr>
            <w:r>
              <w:rPr>
                <w:rFonts w:ascii="仿宋_GB2312" w:hAnsi="仿宋_GB2312" w:cs="仿宋_GB2312" w:eastAsia="仿宋_GB2312"/>
              </w:rPr>
              <w:t>按照委托约定的内容提供正式成果报告。</w:t>
            </w:r>
          </w:p>
          <w:p>
            <w:pPr>
              <w:pStyle w:val="null3"/>
              <w:ind w:firstLine="400"/>
            </w:pPr>
            <w:r>
              <w:rPr>
                <w:rFonts w:ascii="仿宋_GB2312" w:hAnsi="仿宋_GB2312" w:cs="仿宋_GB2312" w:eastAsia="仿宋_GB2312"/>
              </w:rPr>
              <w:t>三、服务要求：</w:t>
            </w:r>
          </w:p>
          <w:p>
            <w:pPr>
              <w:pStyle w:val="null3"/>
              <w:ind w:firstLine="400"/>
            </w:pPr>
            <w:r>
              <w:rPr>
                <w:rFonts w:ascii="仿宋_GB2312" w:hAnsi="仿宋_GB2312" w:cs="仿宋_GB2312" w:eastAsia="仿宋_GB2312"/>
              </w:rPr>
              <w:t>1、中标单位要严格遵守国家法律法规要求，公正公平实施评估工作，不得弄虚作假，需签订反贿赂、认真履责承诺书。</w:t>
            </w:r>
          </w:p>
          <w:p>
            <w:pPr>
              <w:pStyle w:val="null3"/>
              <w:ind w:firstLine="400"/>
            </w:pPr>
            <w:r>
              <w:rPr>
                <w:rFonts w:ascii="仿宋_GB2312" w:hAnsi="仿宋_GB2312" w:cs="仿宋_GB2312" w:eastAsia="仿宋_GB2312"/>
              </w:rPr>
              <w:t>2、深刻理解国家、省市相关政策法规。</w:t>
            </w:r>
          </w:p>
          <w:p>
            <w:pPr>
              <w:pStyle w:val="null3"/>
              <w:ind w:firstLine="400"/>
            </w:pPr>
            <w:r>
              <w:rPr>
                <w:rFonts w:ascii="仿宋_GB2312" w:hAnsi="仿宋_GB2312" w:cs="仿宋_GB2312" w:eastAsia="仿宋_GB2312"/>
              </w:rPr>
              <w:t>四、最高限价</w:t>
            </w:r>
          </w:p>
          <w:p>
            <w:pPr>
              <w:pStyle w:val="null3"/>
              <w:jc w:val="left"/>
            </w:pPr>
            <w:r>
              <w:rPr>
                <w:rFonts w:ascii="仿宋_GB2312" w:hAnsi="仿宋_GB2312" w:cs="仿宋_GB2312" w:eastAsia="仿宋_GB2312"/>
                <w:sz w:val="21"/>
              </w:rPr>
              <w:t>按照</w:t>
            </w:r>
            <w:r>
              <w:rPr>
                <w:rFonts w:ascii="仿宋_GB2312" w:hAnsi="仿宋_GB2312" w:cs="仿宋_GB2312" w:eastAsia="仿宋_GB2312"/>
                <w:sz w:val="21"/>
              </w:rPr>
              <w:t>“</w:t>
            </w:r>
            <w:r>
              <w:rPr>
                <w:rFonts w:ascii="仿宋_GB2312" w:hAnsi="仿宋_GB2312" w:cs="仿宋_GB2312" w:eastAsia="仿宋_GB2312"/>
                <w:sz w:val="21"/>
              </w:rPr>
              <w:t>市资源发〔</w:t>
            </w:r>
            <w:r>
              <w:rPr>
                <w:rFonts w:ascii="仿宋_GB2312" w:hAnsi="仿宋_GB2312" w:cs="仿宋_GB2312" w:eastAsia="仿宋_GB2312"/>
                <w:sz w:val="21"/>
              </w:rPr>
              <w:t>2025〕127号（联合财政局）（关于印发《西安市加强国土空间详细规划、实施详细规划、宗地规划许可和“规土评让”一体化组织管理及相关规划计费指引（试行）》的</w:t>
            </w:r>
            <w:r>
              <w:rPr>
                <w:rFonts w:ascii="仿宋_GB2312" w:hAnsi="仿宋_GB2312" w:cs="仿宋_GB2312" w:eastAsia="仿宋_GB2312"/>
                <w:sz w:val="21"/>
              </w:rPr>
              <w:t>通知</w:t>
            </w:r>
            <w:r>
              <w:rPr>
                <w:rFonts w:ascii="仿宋_GB2312" w:hAnsi="仿宋_GB2312" w:cs="仿宋_GB2312" w:eastAsia="仿宋_GB2312"/>
                <w:sz w:val="21"/>
              </w:rPr>
              <w:t>”中土地价值评估折扣收费标准定额为最高限价。</w:t>
            </w:r>
            <w:r>
              <w:rPr>
                <w:rFonts w:ascii="仿宋_GB2312" w:hAnsi="仿宋_GB2312" w:cs="仿宋_GB2312" w:eastAsia="仿宋_GB2312"/>
                <w:sz w:val="21"/>
              </w:rPr>
              <w:t>详见下表中</w:t>
            </w:r>
            <w:r>
              <w:rPr>
                <w:rFonts w:ascii="仿宋_GB2312" w:hAnsi="仿宋_GB2312" w:cs="仿宋_GB2312" w:eastAsia="仿宋_GB2312"/>
                <w:sz w:val="21"/>
              </w:rPr>
              <w:t>折扣收费标准（万元）</w:t>
            </w:r>
            <w:r>
              <w:rPr>
                <w:rFonts w:ascii="仿宋_GB2312" w:hAnsi="仿宋_GB2312" w:cs="仿宋_GB2312" w:eastAsia="仿宋_GB2312"/>
                <w:sz w:val="21"/>
              </w:rPr>
              <w:t>：</w:t>
            </w:r>
          </w:p>
          <w:tbl>
            <w:tblPr>
              <w:tblBorders>
                <w:top w:val="none" w:color="000000" w:sz="4"/>
                <w:left w:val="none" w:color="000000" w:sz="4"/>
                <w:bottom w:val="none" w:color="000000" w:sz="4"/>
                <w:right w:val="none" w:color="000000" w:sz="4"/>
                <w:insideH w:val="none"/>
                <w:insideV w:val="none"/>
              </w:tblBorders>
            </w:tblPr>
            <w:tblGrid>
              <w:gridCol w:w="220"/>
              <w:gridCol w:w="671"/>
              <w:gridCol w:w="553"/>
              <w:gridCol w:w="530"/>
              <w:gridCol w:w="579"/>
            </w:tblGrid>
            <w:tr>
              <w:tc>
                <w:tcPr>
                  <w:tcW w:type="dxa" w:w="22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color w:val="333333"/>
                    </w:rPr>
                    <w:t>序号</w:t>
                  </w:r>
                </w:p>
              </w:tc>
              <w:tc>
                <w:tcPr>
                  <w:tcW w:type="dxa" w:w="671"/>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rPr>
                    <w:t>土地价格总额（万元）</w:t>
                  </w:r>
                </w:p>
              </w:tc>
              <w:tc>
                <w:tcPr>
                  <w:tcW w:type="dxa" w:w="55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rPr>
                    <w:t>差额</w:t>
                  </w:r>
                  <w:r>
                    <w:rPr>
                      <w:rFonts w:ascii="仿宋_GB2312" w:hAnsi="仿宋_GB2312" w:cs="仿宋_GB2312" w:eastAsia="仿宋_GB2312"/>
                      <w:sz w:val="21"/>
                      <w:b/>
                    </w:rPr>
                    <w:t>计费率</w:t>
                  </w:r>
                  <w:r>
                    <w:rPr>
                      <w:rFonts w:ascii="仿宋_GB2312" w:hAnsi="仿宋_GB2312" w:cs="仿宋_GB2312" w:eastAsia="仿宋_GB2312"/>
                      <w:sz w:val="21"/>
                      <w:b/>
                    </w:rPr>
                    <w:t>‰</w:t>
                  </w:r>
                </w:p>
              </w:tc>
              <w:tc>
                <w:tcPr>
                  <w:tcW w:type="dxa" w:w="53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rPr>
                    <w:t>收费标准（万元）</w:t>
                  </w:r>
                </w:p>
              </w:tc>
              <w:tc>
                <w:tcPr>
                  <w:tcW w:type="dxa" w:w="57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rPr>
                    <w:t>折扣收费标准</w:t>
                  </w:r>
                </w:p>
                <w:p>
                  <w:pPr>
                    <w:pStyle w:val="null3"/>
                    <w:jc w:val="center"/>
                  </w:pPr>
                  <w:r>
                    <w:rPr>
                      <w:rFonts w:ascii="仿宋_GB2312" w:hAnsi="仿宋_GB2312" w:cs="仿宋_GB2312" w:eastAsia="仿宋_GB2312"/>
                      <w:sz w:val="21"/>
                      <w:b/>
                    </w:rPr>
                    <w:t>（万元）</w:t>
                  </w:r>
                </w:p>
              </w:tc>
            </w:tr>
            <w:tr>
              <w:tc>
                <w:tcPr>
                  <w:tcW w:type="dxa" w:w="2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1</w:t>
                  </w:r>
                </w:p>
              </w:tc>
              <w:tc>
                <w:tcPr>
                  <w:tcW w:type="dxa" w:w="67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小于</w:t>
                  </w:r>
                  <w:r>
                    <w:rPr>
                      <w:rFonts w:ascii="仿宋_GB2312" w:hAnsi="仿宋_GB2312" w:cs="仿宋_GB2312" w:eastAsia="仿宋_GB2312"/>
                      <w:sz w:val="21"/>
                      <w:color w:val="333333"/>
                    </w:rPr>
                    <w:t>100</w:t>
                  </w:r>
                </w:p>
              </w:tc>
              <w:tc>
                <w:tcPr>
                  <w:tcW w:type="dxa" w:w="5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4</w:t>
                  </w:r>
                </w:p>
              </w:tc>
              <w:tc>
                <w:tcPr>
                  <w:tcW w:type="dxa" w:w="53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0.1-0.4</w:t>
                  </w:r>
                </w:p>
              </w:tc>
              <w:tc>
                <w:tcPr>
                  <w:tcW w:type="dxa" w:w="5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0.2</w:t>
                  </w:r>
                </w:p>
              </w:tc>
            </w:tr>
            <w:tr>
              <w:tc>
                <w:tcPr>
                  <w:tcW w:type="dxa" w:w="2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2</w:t>
                  </w:r>
                </w:p>
              </w:tc>
              <w:tc>
                <w:tcPr>
                  <w:tcW w:type="dxa" w:w="67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100</w:t>
                  </w:r>
                  <w:r>
                    <w:rPr>
                      <w:rFonts w:ascii="仿宋_GB2312" w:hAnsi="仿宋_GB2312" w:cs="仿宋_GB2312" w:eastAsia="仿宋_GB2312"/>
                      <w:sz w:val="21"/>
                      <w:color w:val="333333"/>
                    </w:rPr>
                    <w:t>-</w:t>
                  </w:r>
                  <w:r>
                    <w:rPr>
                      <w:rFonts w:ascii="仿宋_GB2312" w:hAnsi="仿宋_GB2312" w:cs="仿宋_GB2312" w:eastAsia="仿宋_GB2312"/>
                      <w:sz w:val="21"/>
                      <w:color w:val="333333"/>
                    </w:rPr>
                    <w:t>200</w:t>
                  </w:r>
                </w:p>
              </w:tc>
              <w:tc>
                <w:tcPr>
                  <w:tcW w:type="dxa" w:w="5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3</w:t>
                  </w:r>
                </w:p>
              </w:tc>
              <w:tc>
                <w:tcPr>
                  <w:tcW w:type="dxa" w:w="53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0.4-0.7</w:t>
                  </w:r>
                </w:p>
              </w:tc>
              <w:tc>
                <w:tcPr>
                  <w:tcW w:type="dxa" w:w="5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0.4</w:t>
                  </w:r>
                </w:p>
              </w:tc>
            </w:tr>
            <w:tr>
              <w:tc>
                <w:tcPr>
                  <w:tcW w:type="dxa" w:w="2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3</w:t>
                  </w:r>
                </w:p>
              </w:tc>
              <w:tc>
                <w:tcPr>
                  <w:tcW w:type="dxa" w:w="67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200</w:t>
                  </w:r>
                  <w:r>
                    <w:rPr>
                      <w:rFonts w:ascii="仿宋_GB2312" w:hAnsi="仿宋_GB2312" w:cs="仿宋_GB2312" w:eastAsia="仿宋_GB2312"/>
                      <w:sz w:val="21"/>
                      <w:color w:val="333333"/>
                    </w:rPr>
                    <w:t>-</w:t>
                  </w:r>
                  <w:r>
                    <w:rPr>
                      <w:rFonts w:ascii="仿宋_GB2312" w:hAnsi="仿宋_GB2312" w:cs="仿宋_GB2312" w:eastAsia="仿宋_GB2312"/>
                      <w:sz w:val="21"/>
                      <w:color w:val="333333"/>
                    </w:rPr>
                    <w:t>1000</w:t>
                  </w:r>
                </w:p>
              </w:tc>
              <w:tc>
                <w:tcPr>
                  <w:tcW w:type="dxa" w:w="5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2</w:t>
                  </w:r>
                </w:p>
              </w:tc>
              <w:tc>
                <w:tcPr>
                  <w:tcW w:type="dxa" w:w="53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0.7-2.3</w:t>
                  </w:r>
                </w:p>
              </w:tc>
              <w:tc>
                <w:tcPr>
                  <w:tcW w:type="dxa" w:w="5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0.8</w:t>
                  </w:r>
                </w:p>
              </w:tc>
            </w:tr>
            <w:tr>
              <w:tc>
                <w:tcPr>
                  <w:tcW w:type="dxa" w:w="2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4</w:t>
                  </w:r>
                </w:p>
              </w:tc>
              <w:tc>
                <w:tcPr>
                  <w:tcW w:type="dxa" w:w="67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1000</w:t>
                  </w:r>
                  <w:r>
                    <w:rPr>
                      <w:rFonts w:ascii="仿宋_GB2312" w:hAnsi="仿宋_GB2312" w:cs="仿宋_GB2312" w:eastAsia="仿宋_GB2312"/>
                      <w:sz w:val="21"/>
                      <w:color w:val="333333"/>
                    </w:rPr>
                    <w:t>-</w:t>
                  </w:r>
                  <w:r>
                    <w:rPr>
                      <w:rFonts w:ascii="仿宋_GB2312" w:hAnsi="仿宋_GB2312" w:cs="仿宋_GB2312" w:eastAsia="仿宋_GB2312"/>
                      <w:sz w:val="21"/>
                      <w:color w:val="333333"/>
                    </w:rPr>
                    <w:t>2000</w:t>
                  </w:r>
                </w:p>
              </w:tc>
              <w:tc>
                <w:tcPr>
                  <w:tcW w:type="dxa" w:w="5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1.5</w:t>
                  </w:r>
                </w:p>
              </w:tc>
              <w:tc>
                <w:tcPr>
                  <w:tcW w:type="dxa" w:w="53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2.3-3.8</w:t>
                  </w:r>
                </w:p>
              </w:tc>
              <w:tc>
                <w:tcPr>
                  <w:tcW w:type="dxa" w:w="5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2.1</w:t>
                  </w:r>
                </w:p>
              </w:tc>
            </w:tr>
            <w:tr>
              <w:tc>
                <w:tcPr>
                  <w:tcW w:type="dxa" w:w="2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5</w:t>
                  </w:r>
                </w:p>
              </w:tc>
              <w:tc>
                <w:tcPr>
                  <w:tcW w:type="dxa" w:w="67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2000</w:t>
                  </w:r>
                  <w:r>
                    <w:rPr>
                      <w:rFonts w:ascii="仿宋_GB2312" w:hAnsi="仿宋_GB2312" w:cs="仿宋_GB2312" w:eastAsia="仿宋_GB2312"/>
                      <w:sz w:val="21"/>
                      <w:color w:val="333333"/>
                    </w:rPr>
                    <w:t>-</w:t>
                  </w:r>
                  <w:r>
                    <w:rPr>
                      <w:rFonts w:ascii="仿宋_GB2312" w:hAnsi="仿宋_GB2312" w:cs="仿宋_GB2312" w:eastAsia="仿宋_GB2312"/>
                      <w:sz w:val="21"/>
                      <w:color w:val="333333"/>
                    </w:rPr>
                    <w:t>5000</w:t>
                  </w:r>
                </w:p>
              </w:tc>
              <w:tc>
                <w:tcPr>
                  <w:tcW w:type="dxa" w:w="5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0.8</w:t>
                  </w:r>
                </w:p>
              </w:tc>
              <w:tc>
                <w:tcPr>
                  <w:tcW w:type="dxa" w:w="53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3.8-6.2</w:t>
                  </w:r>
                </w:p>
              </w:tc>
              <w:tc>
                <w:tcPr>
                  <w:tcW w:type="dxa" w:w="5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3.5</w:t>
                  </w:r>
                </w:p>
              </w:tc>
            </w:tr>
            <w:tr>
              <w:tc>
                <w:tcPr>
                  <w:tcW w:type="dxa" w:w="2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6</w:t>
                  </w:r>
                </w:p>
              </w:tc>
              <w:tc>
                <w:tcPr>
                  <w:tcW w:type="dxa" w:w="67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5000</w:t>
                  </w:r>
                  <w:r>
                    <w:rPr>
                      <w:rFonts w:ascii="仿宋_GB2312" w:hAnsi="仿宋_GB2312" w:cs="仿宋_GB2312" w:eastAsia="仿宋_GB2312"/>
                      <w:sz w:val="21"/>
                      <w:color w:val="333333"/>
                    </w:rPr>
                    <w:t>-</w:t>
                  </w:r>
                  <w:r>
                    <w:rPr>
                      <w:rFonts w:ascii="仿宋_GB2312" w:hAnsi="仿宋_GB2312" w:cs="仿宋_GB2312" w:eastAsia="仿宋_GB2312"/>
                      <w:sz w:val="21"/>
                      <w:color w:val="333333"/>
                    </w:rPr>
                    <w:t>10000</w:t>
                  </w:r>
                </w:p>
              </w:tc>
              <w:tc>
                <w:tcPr>
                  <w:tcW w:type="dxa" w:w="5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0.4</w:t>
                  </w:r>
                </w:p>
              </w:tc>
              <w:tc>
                <w:tcPr>
                  <w:tcW w:type="dxa" w:w="53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6.2-8.2</w:t>
                  </w:r>
                </w:p>
              </w:tc>
              <w:tc>
                <w:tcPr>
                  <w:tcW w:type="dxa" w:w="5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5</w:t>
                  </w:r>
                </w:p>
              </w:tc>
            </w:tr>
            <w:tr>
              <w:tc>
                <w:tcPr>
                  <w:tcW w:type="dxa" w:w="2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7</w:t>
                  </w:r>
                </w:p>
              </w:tc>
              <w:tc>
                <w:tcPr>
                  <w:tcW w:type="dxa" w:w="67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10000</w:t>
                  </w:r>
                  <w:r>
                    <w:rPr>
                      <w:rFonts w:ascii="仿宋_GB2312" w:hAnsi="仿宋_GB2312" w:cs="仿宋_GB2312" w:eastAsia="仿宋_GB2312"/>
                      <w:sz w:val="21"/>
                      <w:color w:val="333333"/>
                    </w:rPr>
                    <w:t>-</w:t>
                  </w:r>
                  <w:r>
                    <w:rPr>
                      <w:rFonts w:ascii="仿宋_GB2312" w:hAnsi="仿宋_GB2312" w:cs="仿宋_GB2312" w:eastAsia="仿宋_GB2312"/>
                      <w:sz w:val="21"/>
                      <w:color w:val="333333"/>
                    </w:rPr>
                    <w:t>50000</w:t>
                  </w:r>
                </w:p>
              </w:tc>
              <w:tc>
                <w:tcPr>
                  <w:tcW w:type="dxa" w:w="5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0.1</w:t>
                  </w:r>
                </w:p>
              </w:tc>
              <w:tc>
                <w:tcPr>
                  <w:tcW w:type="dxa" w:w="53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8.2-12.2</w:t>
                  </w:r>
                </w:p>
              </w:tc>
              <w:tc>
                <w:tcPr>
                  <w:tcW w:type="dxa" w:w="5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6</w:t>
                  </w:r>
                </w:p>
              </w:tc>
            </w:tr>
            <w:tr>
              <w:tc>
                <w:tcPr>
                  <w:tcW w:type="dxa" w:w="2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8</w:t>
                  </w:r>
                </w:p>
              </w:tc>
              <w:tc>
                <w:tcPr>
                  <w:tcW w:type="dxa" w:w="67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50000</w:t>
                  </w:r>
                  <w:r>
                    <w:rPr>
                      <w:rFonts w:ascii="仿宋_GB2312" w:hAnsi="仿宋_GB2312" w:cs="仿宋_GB2312" w:eastAsia="仿宋_GB2312"/>
                      <w:sz w:val="21"/>
                      <w:color w:val="333333"/>
                    </w:rPr>
                    <w:t>-</w:t>
                  </w:r>
                  <w:r>
                    <w:rPr>
                      <w:rFonts w:ascii="仿宋_GB2312" w:hAnsi="仿宋_GB2312" w:cs="仿宋_GB2312" w:eastAsia="仿宋_GB2312"/>
                      <w:sz w:val="21"/>
                      <w:color w:val="333333"/>
                    </w:rPr>
                    <w:t>100000</w:t>
                  </w:r>
                </w:p>
              </w:tc>
              <w:tc>
                <w:tcPr>
                  <w:tcW w:type="dxa" w:w="5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0.1</w:t>
                  </w:r>
                </w:p>
              </w:tc>
              <w:tc>
                <w:tcPr>
                  <w:tcW w:type="dxa" w:w="53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12.2-17.2</w:t>
                  </w:r>
                </w:p>
              </w:tc>
              <w:tc>
                <w:tcPr>
                  <w:tcW w:type="dxa" w:w="5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9</w:t>
                  </w:r>
                </w:p>
              </w:tc>
            </w:tr>
            <w:tr>
              <w:tc>
                <w:tcPr>
                  <w:tcW w:type="dxa" w:w="2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9</w:t>
                  </w:r>
                </w:p>
              </w:tc>
              <w:tc>
                <w:tcPr>
                  <w:tcW w:type="dxa" w:w="67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大于</w:t>
                  </w:r>
                  <w:r>
                    <w:rPr>
                      <w:rFonts w:ascii="仿宋_GB2312" w:hAnsi="仿宋_GB2312" w:cs="仿宋_GB2312" w:eastAsia="仿宋_GB2312"/>
                      <w:sz w:val="21"/>
                      <w:color w:val="333333"/>
                    </w:rPr>
                    <w:t>100000</w:t>
                  </w:r>
                </w:p>
              </w:tc>
              <w:tc>
                <w:tcPr>
                  <w:tcW w:type="dxa" w:w="5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color w:val="333333"/>
                    </w:rPr>
                    <w:t>0.1</w:t>
                  </w:r>
                </w:p>
              </w:tc>
              <w:tc>
                <w:tcPr>
                  <w:tcW w:type="dxa" w:w="53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17.2</w:t>
                  </w:r>
                </w:p>
              </w:tc>
              <w:tc>
                <w:tcPr>
                  <w:tcW w:type="dxa" w:w="5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10.3</w:t>
                  </w:r>
                </w:p>
              </w:tc>
            </w:tr>
          </w:tbl>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根据实际发生的业务情况，采购人按照季度进行据实结算</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根据实际发生的业务情况，采购人按照季度进行据实结算</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根据实际发生的业务情况，采购人按照季度进行据实结算</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根据实际发生的业务情况，采购人按照季度进行据实结算</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 融资政策链接：http://www.ccgp-shanxi.gov.cn/zcdservice/zcd/shanxi/) 二、本项目中标供应商须在中标结果发布后提供纸质投标文件一套正本及一套副本交由采购代理机构备案，该文件须与线上电子投标文件完全一致。 三、报价异常低价处理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四、因系统格式限制需填写付款比例，实际付款为：采购人按照供应商中标单价，以实际发生的业务量为准，按照季度据实结算。五、本次采购预算为本年度预算，后续年度按照每年实际情况进行调整。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 附表.docx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具备自然资源行政主管部门关于土地估价机构的备案函</w:t>
            </w:r>
          </w:p>
        </w:tc>
        <w:tc>
          <w:tcPr>
            <w:tcW w:type="dxa" w:w="1661"/>
          </w:tcPr>
          <w:p>
            <w:pPr>
              <w:pStyle w:val="null3"/>
            </w:pPr>
            <w:r>
              <w:rPr>
                <w:rFonts w:ascii="仿宋_GB2312" w:hAnsi="仿宋_GB2312" w:cs="仿宋_GB2312" w:eastAsia="仿宋_GB2312"/>
              </w:rPr>
              <w:t>附表.docx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仅限符合《政府采购促进中小企业发展办法》（财库〔2020〕46 号）条件的中小企业参与，投标人应填写中小企业声明函并对真实性负责；监狱企业、残疾人福利性单位视同小微企业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附表.docx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服务期限符合招标文件要求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报价唯一，且报价不超过采购预算及最高限价。</w:t>
            </w:r>
          </w:p>
        </w:tc>
        <w:tc>
          <w:tcPr>
            <w:tcW w:type="dxa" w:w="1661"/>
          </w:tcPr>
          <w:p>
            <w:pPr>
              <w:pStyle w:val="null3"/>
            </w:pPr>
            <w:r>
              <w:rPr>
                <w:rFonts w:ascii="仿宋_GB2312" w:hAnsi="仿宋_GB2312" w:cs="仿宋_GB2312" w:eastAsia="仿宋_GB2312"/>
              </w:rPr>
              <w:t>投标函 附表.docx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评审内容：①组织架构；②实施标准；③工作方法；④成果编制。 评审标准：每一项方案内容全面详细、阐述条理清晰详尽、符合本项目得4分，满分16分。每项存在一处缺陷，扣2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针对本项目制定切实可行的总体质量控制目标，包含①项目需求分析；②质量控制措施；③拟投入专业设施和设备。 评审标准：每一项方案内容全面详细、阐述条理清晰详尽、符合本项目得3分，满分9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对本项目制定完善的保密措施，包含①保密方案；②人员保密管理；③保密承诺等。 评审标准：每一项方案内容全面详细、阐述条理清晰详尽、符合本项目得3分，满分9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对关键节点、具体环节提出相应进度计划安排，包含①工作进度计划安排；②工作进度计划保障措施。 评审标准：每一项方案内容全面详细、阐述条理清晰详尽、符合本项目得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针对本项目编写的重点、难点分析及解决措施，包含①重、难点分析；②风险点分析；③解决方案等。 评审标准：每一项方案内容全面详细、阐述条理清晰详尽、符合本项目得3分，满分9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内控管理</w:t>
            </w:r>
          </w:p>
        </w:tc>
        <w:tc>
          <w:tcPr>
            <w:tcW w:type="dxa" w:w="2492"/>
          </w:tcPr>
          <w:p>
            <w:pPr>
              <w:pStyle w:val="null3"/>
            </w:pPr>
            <w:r>
              <w:rPr>
                <w:rFonts w:ascii="仿宋_GB2312" w:hAnsi="仿宋_GB2312" w:cs="仿宋_GB2312" w:eastAsia="仿宋_GB2312"/>
              </w:rPr>
              <w:t>针对本项目有完善的管理制度，包含①业务质量控制制度；②档案管理制度；③风险控制制度；④安全管理制度；⑤突发状况处理措施。 评审标准：每一项方案内容全面详细、阐述条理清晰详尽、符合本项目得2分，满分10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拟派负责人具备估价师（土地或房地产）及高级职称的，得4分。 拟派负责人具备本科以上（含本科）学历的，得2分。 （须提供有效的证书及投标截止时间前近三个月本单位的社保证明）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项目组成员具有估价师（土地或房地产）执业资格5人得5分，每增加1人加0.5分，满分10分。（须提供有效的证书及投标截止时间前近三个月本单位的社保证明）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提供2023年1月1日以来承担并完成国家级相关部门或省市级相关部门土地相关研究课题项目证明文件，每提供一个得1分，满分5分，不提供不得分。（提供完整合同，以签订时间为准，否则不做为评标依据。）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提供2023年1月1日至今完成过同类项目业绩，每提供一个得2分，满分10分，不提供不得分。（提供完整合同或委托书，以签订时间为准，否则不做为评标依据。）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以满足招标文件实质性要求的分项报价单价合计最低的报价为评审基准价，报价得分=（评审基准价/响应报价）×价格分值。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