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版本号：HYTF-20260401520260416001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西安航天基地2025年第二批城市基础设施建设项目-初步设计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HYTF-202604015</w:t>
      </w:r>
      <w:r>
        <w:br/>
      </w:r>
      <w:r>
        <w:br/>
      </w:r>
      <w:r>
        <w:br/>
      </w:r>
    </w:p>
    <w:p>
      <w:pPr>
        <w:pStyle w:val="null3"/>
        <w:jc w:val="center"/>
        <w:outlineLvl w:val="2"/>
      </w:pPr>
      <w:r>
        <w:rPr>
          <w:rFonts w:ascii="仿宋_GB2312" w:hAnsi="仿宋_GB2312" w:cs="仿宋_GB2312" w:eastAsia="仿宋_GB2312"/>
          <w:sz w:val="28"/>
          <w:b/>
        </w:rPr>
        <w:t>西安国家民用航天产业基地城市更新发展服务中心</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西安国家民用航天产业基地城市更新发展服务中心</w:t>
      </w:r>
      <w:r>
        <w:rPr>
          <w:rFonts w:ascii="仿宋_GB2312" w:hAnsi="仿宋_GB2312" w:cs="仿宋_GB2312" w:eastAsia="仿宋_GB2312"/>
        </w:rPr>
        <w:t>委托，拟对</w:t>
      </w:r>
      <w:r>
        <w:rPr>
          <w:rFonts w:ascii="仿宋_GB2312" w:hAnsi="仿宋_GB2312" w:cs="仿宋_GB2312" w:eastAsia="仿宋_GB2312"/>
        </w:rPr>
        <w:t>西安航天基地2025年第二批城市基础设施建设项目-初步设计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HYTF-202604015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西安航天基地2025年第二批城市基础设施建设项目-初步设计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西安航天基地2025年第二批城市基础设施建设项目-初步设计，1项。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2024或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p>
      <w:pPr>
        <w:pStyle w:val="null3"/>
      </w:pPr>
      <w:r>
        <w:rPr>
          <w:rFonts w:ascii="仿宋_GB2312" w:hAnsi="仿宋_GB2312" w:cs="仿宋_GB2312" w:eastAsia="仿宋_GB2312"/>
        </w:rPr>
        <w:t>3、税收缴纳证明：提供2025年10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4、社保缴纳证明：提供2025年10月至今已缴存任意一个月社会保障资金缴存单据或社保机构开具的社会保险参保缴费证明，依法不需要缴纳社会保障资金的单位应提供相应证明文件；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8、企业资质：供应商须具备工程设计综合资质甲级或市政工程设计行业资质（燃气工程、轨道交通工程除外）乙级及以上资质；</w:t>
      </w:r>
    </w:p>
    <w:p>
      <w:pPr>
        <w:pStyle w:val="null3"/>
      </w:pPr>
      <w:r>
        <w:rPr>
          <w:rFonts w:ascii="仿宋_GB2312" w:hAnsi="仿宋_GB2312" w:cs="仿宋_GB2312" w:eastAsia="仿宋_GB2312"/>
        </w:rPr>
        <w:t>9、企业信用查询：供应商通过“信用中国”网站(www.creditchina.gov.cn)、中国政府采购网(www.ccgp.gov.cn)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10、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pPr>
        <w:pStyle w:val="null3"/>
      </w:pPr>
      <w:r>
        <w:rPr>
          <w:rFonts w:ascii="仿宋_GB2312" w:hAnsi="仿宋_GB2312" w:cs="仿宋_GB2312" w:eastAsia="仿宋_GB2312"/>
        </w:rPr>
        <w:t>11、本项目不接受联合体投标，不允许分包：本项目不接受联合体投标，不允许分包。供应商提供《非联合体不分包投标声明》，视为独立投标，不分包。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西安国家民用航天产业基地城市更新发展服务中心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航天中路东段398号寰宇大厦西侧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029-85839511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赵维、李亚容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029-89284433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采购包1：405,900.00元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代理服务费收费标准：以成交金额为取费基数，采购代理服务费参照《国家计委关于印发&lt;招标代理服务收费管理暂行办法&gt;的通知》（计价格[2002]1980号）和（发改办价格[2011]534号）文件规定的标准收取。 代理服务费缴纳账户信息： 银行户名：陕西四方衡裕项目管理有限公司 开户银行：兴业银行股份有限公司西安锦业路支行 账号：456700100100008334 联系人：蔡月茹 方淑丽 联系电话：029-89284433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西安国家民用航天产业基地城市更新发展服务中心</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西安国家民用航天产业基地城市更新发展服务中心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西安国家民用航天产业基地城市更新发展服务中心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陕西四方衡裕项目管理有限公司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联系人：赵维</w:t>
      </w:r>
    </w:p>
    <w:p>
      <w:pPr>
        <w:pStyle w:val="null3"/>
      </w:pPr>
      <w:r>
        <w:rPr>
          <w:rFonts w:ascii="仿宋_GB2312" w:hAnsi="仿宋_GB2312" w:cs="仿宋_GB2312" w:eastAsia="仿宋_GB2312"/>
        </w:rPr>
        <w:t>联系电话：029-89284433</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西安航天基地2025年第二批城市基础设施建设项目-初步设计，1项。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405,900.00</w:t>
      </w:r>
    </w:p>
    <w:p>
      <w:pPr>
        <w:pStyle w:val="null3"/>
      </w:pPr>
      <w:r>
        <w:rPr>
          <w:rFonts w:ascii="仿宋_GB2312" w:hAnsi="仿宋_GB2312" w:cs="仿宋_GB2312" w:eastAsia="仿宋_GB2312"/>
        </w:rPr>
        <w:t>采购包最高限价（元）: 405,900.00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西安航天基地2025年第二批城市基础设施建设项目-初步设计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405,900.00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标的名称：西安航天基地2025年第二批城市基础设施建设项目-初步设计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0"/>
              </w:rPr>
              <w:t>一、项目概况</w:t>
            </w:r>
          </w:p>
          <w:p>
            <w:pPr>
              <w:pStyle w:val="null3"/>
              <w:ind w:firstLine="480"/>
              <w:jc w:val="both"/>
            </w:pPr>
            <w:r>
              <w:rPr>
                <w:rFonts w:ascii="仿宋_GB2312" w:hAnsi="仿宋_GB2312" w:cs="仿宋_GB2312" w:eastAsia="仿宋_GB2312"/>
                <w:sz w:val="20"/>
              </w:rPr>
              <w:t>西安航天基地</w:t>
            </w:r>
            <w:r>
              <w:rPr>
                <w:rFonts w:ascii="仿宋_GB2312" w:hAnsi="仿宋_GB2312" w:cs="仿宋_GB2312" w:eastAsia="仿宋_GB2312"/>
                <w:sz w:val="20"/>
              </w:rPr>
              <w:t>2025年第二批城市基础设施建设项目包含四条新建市政道路：天和一路东侧规划路（长征二路南侧规划路-长征三路北侧规划路）长度212米、长征二路南侧规划路（天和一路-天和一路东侧规划路）长度231米、长征三路北侧规划路（新和村安置地块西边线-天和一路东侧规划路-）长度481米、雁引路支二（长征一路-航天南路）长度653米；包含专业：道路、交通、雨水、污水、给水、电力通信线缆沟、照明、绿化以及海绵城市等。</w:t>
            </w:r>
          </w:p>
          <w:p>
            <w:pPr>
              <w:pStyle w:val="null3"/>
              <w:ind w:firstLine="480"/>
              <w:jc w:val="both"/>
            </w:pPr>
            <w:r>
              <w:rPr>
                <w:rFonts w:ascii="仿宋_GB2312" w:hAnsi="仿宋_GB2312" w:cs="仿宋_GB2312" w:eastAsia="仿宋_GB2312"/>
                <w:sz w:val="20"/>
              </w:rPr>
              <w:t>二、服务内容</w:t>
            </w:r>
          </w:p>
          <w:p>
            <w:pPr>
              <w:pStyle w:val="null3"/>
              <w:ind w:firstLine="480"/>
              <w:jc w:val="both"/>
            </w:pPr>
            <w:r>
              <w:rPr>
                <w:rFonts w:ascii="仿宋_GB2312" w:hAnsi="仿宋_GB2312" w:cs="仿宋_GB2312" w:eastAsia="仿宋_GB2312"/>
                <w:sz w:val="20"/>
              </w:rPr>
              <w:t>西安航天基地</w:t>
            </w:r>
            <w:r>
              <w:rPr>
                <w:rFonts w:ascii="仿宋_GB2312" w:hAnsi="仿宋_GB2312" w:cs="仿宋_GB2312" w:eastAsia="仿宋_GB2312"/>
                <w:sz w:val="20"/>
              </w:rPr>
              <w:t>2025年第二批城市基础设施建设项目-初步设计：根据相关资料，对接相关行业主管和管理部门，编制初步设计成果，满足国家有关规定，并全程协助配合甲方推进本项目涉及的相关审批工作，进行技术支持并参与评审、汇报等工作。</w:t>
            </w:r>
          </w:p>
          <w:p>
            <w:pPr>
              <w:pStyle w:val="null3"/>
              <w:ind w:firstLine="480"/>
              <w:jc w:val="both"/>
            </w:pPr>
            <w:r>
              <w:rPr>
                <w:rFonts w:ascii="仿宋_GB2312" w:hAnsi="仿宋_GB2312" w:cs="仿宋_GB2312" w:eastAsia="仿宋_GB2312"/>
                <w:sz w:val="20"/>
              </w:rPr>
              <w:t>三、商务要求</w:t>
            </w:r>
          </w:p>
          <w:p>
            <w:pPr>
              <w:pStyle w:val="null3"/>
              <w:ind w:firstLine="48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服务期限：自合同签订之日起至初步设计批复完成止。</w:t>
            </w:r>
          </w:p>
          <w:p>
            <w:pPr>
              <w:pStyle w:val="null3"/>
              <w:ind w:firstLine="480"/>
              <w:jc w:val="both"/>
            </w:pPr>
            <w:r>
              <w:rPr>
                <w:rFonts w:ascii="仿宋_GB2312" w:hAnsi="仿宋_GB2312" w:cs="仿宋_GB2312" w:eastAsia="仿宋_GB2312"/>
                <w:sz w:val="20"/>
              </w:rPr>
              <w:t>2、款项结算：</w:t>
            </w:r>
          </w:p>
          <w:p>
            <w:pPr>
              <w:pStyle w:val="null3"/>
              <w:ind w:firstLine="480"/>
              <w:jc w:val="both"/>
            </w:pPr>
            <w:r>
              <w:rPr>
                <w:rFonts w:ascii="仿宋_GB2312" w:hAnsi="仿宋_GB2312" w:cs="仿宋_GB2312" w:eastAsia="仿宋_GB2312"/>
                <w:sz w:val="20"/>
              </w:rPr>
              <w:t>完成项目初步设计成果并通过审批后，一次性支付费用，最终结算价不得超过合同价及经批复的初步设计概算金额。</w:t>
            </w:r>
          </w:p>
          <w:p>
            <w:pPr>
              <w:pStyle w:val="null3"/>
              <w:ind w:firstLine="480"/>
              <w:jc w:val="both"/>
            </w:pPr>
            <w:r>
              <w:rPr>
                <w:rFonts w:ascii="仿宋_GB2312" w:hAnsi="仿宋_GB2312" w:cs="仿宋_GB2312" w:eastAsia="仿宋_GB2312"/>
                <w:sz w:val="20"/>
              </w:rPr>
              <w:t>四、其他要求</w:t>
            </w:r>
          </w:p>
          <w:p>
            <w:pPr>
              <w:pStyle w:val="null3"/>
              <w:ind w:firstLine="480"/>
              <w:jc w:val="both"/>
            </w:pPr>
            <w:r>
              <w:rPr>
                <w:rFonts w:ascii="仿宋_GB2312" w:hAnsi="仿宋_GB2312" w:cs="仿宋_GB2312" w:eastAsia="仿宋_GB2312"/>
                <w:sz w:val="20"/>
              </w:rPr>
              <w:t>（一）质量验收标准或规范</w:t>
            </w:r>
          </w:p>
          <w:p>
            <w:pPr>
              <w:pStyle w:val="null3"/>
              <w:ind w:firstLine="480"/>
              <w:jc w:val="both"/>
            </w:pPr>
            <w:r>
              <w:rPr>
                <w:rFonts w:ascii="仿宋_GB2312" w:hAnsi="仿宋_GB2312" w:cs="仿宋_GB2312" w:eastAsia="仿宋_GB2312"/>
                <w:sz w:val="20"/>
              </w:rPr>
              <w:t>包括但不限于《市政公用工程设计文件编制深度规定</w:t>
            </w:r>
            <w:r>
              <w:rPr>
                <w:rFonts w:ascii="仿宋_GB2312" w:hAnsi="仿宋_GB2312" w:cs="仿宋_GB2312" w:eastAsia="仿宋_GB2312"/>
                <w:sz w:val="20"/>
              </w:rPr>
              <w:t>（</w:t>
            </w:r>
            <w:r>
              <w:rPr>
                <w:rFonts w:ascii="仿宋_GB2312" w:hAnsi="仿宋_GB2312" w:cs="仿宋_GB2312" w:eastAsia="仿宋_GB2312"/>
                <w:sz w:val="20"/>
              </w:rPr>
              <w:t>2025 版</w:t>
            </w:r>
            <w:r>
              <w:rPr>
                <w:rFonts w:ascii="仿宋_GB2312" w:hAnsi="仿宋_GB2312" w:cs="仿宋_GB2312" w:eastAsia="仿宋_GB2312"/>
                <w:sz w:val="20"/>
              </w:rPr>
              <w:t>）</w:t>
            </w:r>
            <w:r>
              <w:rPr>
                <w:rFonts w:ascii="仿宋_GB2312" w:hAnsi="仿宋_GB2312" w:cs="仿宋_GB2312" w:eastAsia="仿宋_GB2312"/>
                <w:sz w:val="20"/>
              </w:rPr>
              <w:t>》及现行的国家标准或国家行政部门颁布的法律法规、规章制度等行业标准。</w:t>
            </w:r>
          </w:p>
          <w:p>
            <w:pPr>
              <w:pStyle w:val="null3"/>
              <w:ind w:firstLine="480"/>
              <w:jc w:val="both"/>
            </w:pPr>
            <w:r>
              <w:rPr>
                <w:rFonts w:ascii="仿宋_GB2312" w:hAnsi="仿宋_GB2312" w:cs="仿宋_GB2312" w:eastAsia="仿宋_GB2312"/>
                <w:sz w:val="20"/>
              </w:rPr>
              <w:t>（二）成果要求</w:t>
            </w:r>
          </w:p>
          <w:p>
            <w:pPr>
              <w:pStyle w:val="null3"/>
              <w:ind w:firstLine="400"/>
              <w:jc w:val="both"/>
            </w:pPr>
            <w:r>
              <w:rPr>
                <w:rFonts w:ascii="仿宋_GB2312" w:hAnsi="仿宋_GB2312" w:cs="仿宋_GB2312" w:eastAsia="仿宋_GB2312"/>
                <w:sz w:val="20"/>
              </w:rPr>
              <w:t>1、供应商应向采购人提供</w:t>
            </w:r>
            <w:r>
              <w:rPr>
                <w:rFonts w:ascii="仿宋_GB2312" w:hAnsi="仿宋_GB2312" w:cs="仿宋_GB2312" w:eastAsia="仿宋_GB2312"/>
                <w:sz w:val="20"/>
              </w:rPr>
              <w:t>4</w:t>
            </w:r>
            <w:r>
              <w:rPr>
                <w:rFonts w:ascii="仿宋_GB2312" w:hAnsi="仿宋_GB2312" w:cs="仿宋_GB2312" w:eastAsia="仿宋_GB2312"/>
                <w:sz w:val="20"/>
              </w:rPr>
              <w:t>套纸质资料及</w:t>
            </w:r>
            <w:r>
              <w:rPr>
                <w:rFonts w:ascii="仿宋_GB2312" w:hAnsi="仿宋_GB2312" w:cs="仿宋_GB2312" w:eastAsia="仿宋_GB2312"/>
                <w:sz w:val="20"/>
              </w:rPr>
              <w:t>1套电子资料。</w:t>
            </w:r>
          </w:p>
          <w:p>
            <w:pPr>
              <w:pStyle w:val="null3"/>
            </w:pPr>
            <w:r>
              <w:rPr>
                <w:rFonts w:ascii="仿宋_GB2312" w:hAnsi="仿宋_GB2312" w:cs="仿宋_GB2312" w:eastAsia="仿宋_GB2312"/>
                <w:sz w:val="20"/>
              </w:rPr>
              <w:t xml:space="preserve">   2、需按照采购人提供的设计条件、设计要求、设计标准进行设计。设计完成后需经采购人审核同意后出具正式初步设计。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供应商根据项目采购需求配备相关设施设备。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满足本项目采购需求及合同条款。</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服务期限：自合同签订之日起至初步设计批复完成止。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完成项目初步设计成果并通过审批后，一次性支付费用，最终结算价不得超过合同价及经批复的初步设计概算金额</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内容“西安航天基地2025年第二批城市基础设施建设项目-初步设计”对应的中小企业划分标准所属行业为：其他未列明行业。2、供应商需要在线提交所有通过电子化交易平台实施的政府采购项目的响应文件，成交供应商在成交结果公示后线下递交纸质响应文件正本壹份、副本壹份，递交文件地点：陕西省西安市国家民用航天产业基地神舟大道1666号新经济产业园北区3幢2层。3、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提供2025年10月至今已缴纳任意一个月纳税证明或税务机关开具的完税证明（时间以税款所属日期为准，凭据应有税务机关或代收机关的公章或业务专用章。）依法免税或无须缴纳税收的单位应提供相应证明文件；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提供2025年10月至今已缴存任意一个月社会保障资金缴存单据或社保机构开具的社会保险参保缴费证明，依法不需要缴纳社会保障资金的单位应提供相应证明文件；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供应商须具备工程设计综合资质甲级或市政工程设计行业资质（燃气工程、轨道交通工程除外）乙级及以上资质；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中小企业声明函 供应商应提交的相关资格证明材料 承诺书.docx 报价表 响应文件封面 残疾人福利性单位声明函 标的清单 资格证明材料.docx 响应函 服务方案及其他资料.docx 偏差表.docx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只能有一个有效报价，不得提交选择性报价，且报价未超过磋商文件中规定的采购预算金额或最高限价。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中小企业声明函 供应商应提交的相关资格证明材料 承诺书.docx 报价表 响应文件封面 残疾人福利性单位声明函 标的清单 资格证明材料.docx 响应函 服务方案及其他资料.docx 偏差表.docx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偏差表.docx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满足本磋商文件中的实质性条款（服务期限、服务地点、付款方式）要求</w:t>
            </w:r>
          </w:p>
        </w:tc>
        <w:tc>
          <w:tcPr>
            <w:tcW w:type="dxa" w:w="1661"/>
          </w:tcPr>
          <w:p>
            <w:pPr>
              <w:pStyle w:val="null3"/>
            </w:pPr>
            <w:r>
              <w:rPr>
                <w:rFonts w:ascii="仿宋_GB2312" w:hAnsi="仿宋_GB2312" w:cs="仿宋_GB2312" w:eastAsia="仿宋_GB2312"/>
              </w:rPr>
              <w:t>报价表 服务方案及其他资料.docx 偏差表.docx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中小企业声明函 供应商应提交的相关资格证明材料 承诺书.docx 报价表 响应文件封面 残疾人福利性单位声明函 标的清单 资格证明材料.docx 响应函 服务方案及其他资料.docx 偏差表.docx 监狱企业的证明文件 报价明细表.docx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项目理解与分析</w:t>
            </w:r>
          </w:p>
        </w:tc>
        <w:tc>
          <w:tcPr>
            <w:tcW w:type="dxa" w:w="2492"/>
          </w:tcPr>
          <w:p>
            <w:pPr>
              <w:pStyle w:val="null3"/>
            </w:pPr>
            <w:r>
              <w:rPr>
                <w:rFonts w:ascii="仿宋_GB2312" w:hAnsi="仿宋_GB2312" w:cs="仿宋_GB2312" w:eastAsia="仿宋_GB2312"/>
              </w:rPr>
              <w:t>一、评审内容 供应商提供对本项目的理解与分析。包括但不限于：①项目背景理解；②项目概况与现状分析。 二、评审标准：针对本项目背景理解到位，认识准确，项目概况与现状分析清晰明确，掌握项目各项工作要求，切合本项目实际情况及实施要求，每个要点均有展开详细的阐述计6分；评审内容每缺一项扣3分，扣完为止；评审内容有缺陷的每任意一项缺陷扣1分，扣完为止。（缺陷是指：内容不完整或缺少关键点；逻辑混乱、前后表述矛盾、理解偏差；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总体设计方案</w:t>
            </w:r>
          </w:p>
        </w:tc>
        <w:tc>
          <w:tcPr>
            <w:tcW w:type="dxa" w:w="2492"/>
          </w:tcPr>
          <w:p>
            <w:pPr>
              <w:pStyle w:val="null3"/>
            </w:pPr>
            <w:r>
              <w:rPr>
                <w:rFonts w:ascii="仿宋_GB2312" w:hAnsi="仿宋_GB2312" w:cs="仿宋_GB2312" w:eastAsia="仿宋_GB2312"/>
              </w:rPr>
              <w:t>一、评审内容 供应商提供针对本项目的总体设计方案。包括但不限于：①设计原则；②设计依据及标准；③设计理念、思路；④设计方案的具体规划和步骤；⑤设计成果及预期目标。 二、评审标准：针对本项目设计目标、规模、内容理解透彻，设计思路清晰、技术路线明确、方案阐述内容全面完整，每个要点均有展开详细的阐述，能确保设计方案的可行性和可实施性，计20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设计进度计划及控制措施</w:t>
            </w:r>
          </w:p>
        </w:tc>
        <w:tc>
          <w:tcPr>
            <w:tcW w:type="dxa" w:w="2492"/>
          </w:tcPr>
          <w:p>
            <w:pPr>
              <w:pStyle w:val="null3"/>
            </w:pPr>
            <w:r>
              <w:rPr>
                <w:rFonts w:ascii="仿宋_GB2312" w:hAnsi="仿宋_GB2312" w:cs="仿宋_GB2312" w:eastAsia="仿宋_GB2312"/>
              </w:rPr>
              <w:t>一、评审内容 供应商提供针对本项目的设计进度计划及控制措施。包括但不限于：①设计方案的总体进度计划安排；②确保进度的保障措施；③合理的资源配置安排与目标跟踪等。 二、评审标准：针对本项目的设计进度计划安排合理，时间节点明确，控制措施合理可实施性强，切合本项目实际情况及实施要求，每个要点均有展开详细的阐述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工程限额设计控制措施</w:t>
            </w:r>
          </w:p>
        </w:tc>
        <w:tc>
          <w:tcPr>
            <w:tcW w:type="dxa" w:w="2492"/>
          </w:tcPr>
          <w:p>
            <w:pPr>
              <w:pStyle w:val="null3"/>
            </w:pPr>
            <w:r>
              <w:rPr>
                <w:rFonts w:ascii="仿宋_GB2312" w:hAnsi="仿宋_GB2312" w:cs="仿宋_GB2312" w:eastAsia="仿宋_GB2312"/>
              </w:rPr>
              <w:t>一、评审内容 供应商提供针对本项目的工程限额设计控制措施。包括但不限于：①建立完善的设计管理流程及有效的沟通机制；②结合工程特点制定科学合理的设计方案；③建立成本控制机制，提升成本控制意识。 二、评审标准：针对本项目的工程限额设计控制措施详细、全面，程序完善、合理，措施有力，可行性强，切合本项目实际情况及实施要求，每个要点均有展开详细的阐述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 供应商提供针对本项目的服务质量保证措施。包括但不限于：①服务质量的标准、管理制度；②服务质量保障方案；③完善的反馈机制。 二、评审标准：针对本项目的服务质量保证措施详细，管理制度完整，程序合规，设计方案和图纸编制、审核流程严谨，切合本项目实际情况及实施要求，每个要点均有展开详细的阐述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组织机构及人员配置</w:t>
            </w:r>
          </w:p>
        </w:tc>
        <w:tc>
          <w:tcPr>
            <w:tcW w:type="dxa" w:w="2492"/>
          </w:tcPr>
          <w:p>
            <w:pPr>
              <w:pStyle w:val="null3"/>
            </w:pPr>
            <w:r>
              <w:rPr>
                <w:rFonts w:ascii="仿宋_GB2312" w:hAnsi="仿宋_GB2312" w:cs="仿宋_GB2312" w:eastAsia="仿宋_GB2312"/>
              </w:rPr>
              <w:t>一、评审内容 供应商组织机构设置合理，拟投入本项目的各岗位人员配备符合本项目实际需求，包括但不限于：①团队人员组织架构安排及人员配置清单；②团队人员的岗位职责及分工；③团队人员的资历及项目经验。 二、评审标准：保证所需求的人员结构配置合理、科学，职责分工明确，人数充足，有利于项目实施计9分；评审内容每缺一项扣3分，扣完为止；评审内容有缺陷的每任意一项缺陷扣1分，扣完为止。（缺陷是指：内容粗略、逻辑混乱、职责分工不明确、组织架构不合理、与项目特点不匹配、逻辑漏洞、出现常识性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项目负责人及人员专业性</w:t>
            </w:r>
          </w:p>
        </w:tc>
        <w:tc>
          <w:tcPr>
            <w:tcW w:type="dxa" w:w="2492"/>
          </w:tcPr>
          <w:p>
            <w:pPr>
              <w:pStyle w:val="null3"/>
            </w:pPr>
            <w:r>
              <w:rPr>
                <w:rFonts w:ascii="仿宋_GB2312" w:hAnsi="仿宋_GB2312" w:cs="仿宋_GB2312" w:eastAsia="仿宋_GB2312"/>
              </w:rPr>
              <w:t>供应商拟派本项目负责人具备市政工程相关专业高级工程师及以上职称计3分；具有市政工程相关专业中级及以上（含中级）职称计1分；其他的不计分。 项目团队成员中（项目负责人除外）每有一名相关专业中级及以上（含中级）职称人员计1 分，满分3分。 （备注：以上人员需提供身份证、学历证、资格证书及本单位社保缴纳证明，未提供证明材料或提供不全的不计分。）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后续服务</w:t>
            </w:r>
          </w:p>
        </w:tc>
        <w:tc>
          <w:tcPr>
            <w:tcW w:type="dxa" w:w="2492"/>
          </w:tcPr>
          <w:p>
            <w:pPr>
              <w:pStyle w:val="null3"/>
            </w:pPr>
            <w:r>
              <w:rPr>
                <w:rFonts w:ascii="仿宋_GB2312" w:hAnsi="仿宋_GB2312" w:cs="仿宋_GB2312" w:eastAsia="仿宋_GB2312"/>
              </w:rPr>
              <w:t>一、评审内容 针对本项目有后续服务保证措施，包括但不限于：①后续服务计划安排；②后续延伸服务范围；③与采购人之间的配合及服务承诺。 二、评审标准：后续服务各部分内容全面详细、阐述条理清晰详尽、合理可行，符合本项目采购需求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重点难点分析及解决措施</w:t>
            </w:r>
          </w:p>
        </w:tc>
        <w:tc>
          <w:tcPr>
            <w:tcW w:type="dxa" w:w="2492"/>
          </w:tcPr>
          <w:p>
            <w:pPr>
              <w:pStyle w:val="null3"/>
            </w:pPr>
            <w:r>
              <w:rPr>
                <w:rFonts w:ascii="仿宋_GB2312" w:hAnsi="仿宋_GB2312" w:cs="仿宋_GB2312" w:eastAsia="仿宋_GB2312"/>
              </w:rPr>
              <w:t>供应商提供针对本项目设计工作重点、难点分析及解决方案。关键点分析准确，解决方案针对性强计4分；对重点、难点分析基本准确，解决方案针对性和可行性一般计2分；对重点、难点有分析但不准确，解决方案合理性、可行性差计1分；未提供相关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合理化建议及廉洁、保密</w:t>
            </w:r>
          </w:p>
        </w:tc>
        <w:tc>
          <w:tcPr>
            <w:tcW w:type="dxa" w:w="2492"/>
          </w:tcPr>
          <w:p>
            <w:pPr>
              <w:pStyle w:val="null3"/>
            </w:pPr>
            <w:r>
              <w:rPr>
                <w:rFonts w:ascii="仿宋_GB2312" w:hAnsi="仿宋_GB2312" w:cs="仿宋_GB2312" w:eastAsia="仿宋_GB2312"/>
              </w:rPr>
              <w:t>一、评审内容 供应商提供针对本项目的合理化建议及保密措施。包括但不限于：①有利于项目实施的合理化建议；②廉洁、保密承诺及措施。 二、评审标准：合理化建议内容全面合理，贴合本项目需求，有利于采购人；廉洁、保密措施明确，阐述清晰，针对性和可行性强计4分；评审内容每缺一项扣2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供应商提供2023年1月1日起至今类似项目业绩，响应文件中附其完整合同证明文件每份计1分，满分5分，未提供者不得分。 注：业绩证明材料须提供项目合同复印件并加盖公章，时间以合同签订时间为准。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详见附件：偏差表.docx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详见附件：服务方案及其他资料.docx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