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版本号：HYTF-20260401820260420001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航天基地2026-2027年市政建设项目-一图三表编制、项目建议书编制、可行性研究报告服务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HYTF-202604018</w:t>
      </w:r>
      <w:r>
        <w:br/>
      </w:r>
      <w:r>
        <w:br/>
      </w:r>
      <w:r>
        <w:br/>
      </w:r>
    </w:p>
    <w:p>
      <w:pPr>
        <w:pStyle w:val="null3"/>
        <w:jc w:val="center"/>
        <w:outlineLvl w:val="2"/>
      </w:pPr>
      <w:r>
        <w:rPr>
          <w:rFonts w:ascii="仿宋_GB2312" w:hAnsi="仿宋_GB2312" w:cs="仿宋_GB2312" w:eastAsia="仿宋_GB2312"/>
          <w:sz w:val="28"/>
          <w:b/>
        </w:rPr>
        <w:t>西安国家民用航天产业基地城市更新发展服务中心</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委托，拟对</w:t>
      </w:r>
      <w:r>
        <w:rPr>
          <w:rFonts w:ascii="仿宋_GB2312" w:hAnsi="仿宋_GB2312" w:cs="仿宋_GB2312" w:eastAsia="仿宋_GB2312"/>
        </w:rPr>
        <w:t>航天基地2026-2027年市政建设项目-一图三表编制、项目建议书编制、可行性研究报告服务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HYTF-202604018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航天基地2026-2027年市政建设项目-一图三表编制、项目建议书编制、可行性研究报告服务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航天基地2026-2027年市政建设项目-一图三表编制、项目建议书编制、可行性研报告服务，1项。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8、企业备案：供应商须通过“国家投资项目在线审批监管平台”登记备案，咨询专业需包括市政公用工程；</w:t>
      </w:r>
    </w:p>
    <w:p>
      <w:pPr>
        <w:pStyle w:val="null3"/>
      </w:pPr>
      <w:r>
        <w:rPr>
          <w:rFonts w:ascii="仿宋_GB2312" w:hAnsi="仿宋_GB2312" w:cs="仿宋_GB2312" w:eastAsia="仿宋_GB2312"/>
        </w:rPr>
        <w:t>9、项目负责人：供应商具备市政公用专业咨询工程师(投资)登记证书并在本单位登记；</w:t>
      </w:r>
    </w:p>
    <w:p>
      <w:pPr>
        <w:pStyle w:val="null3"/>
      </w:pPr>
      <w:r>
        <w:rPr>
          <w:rFonts w:ascii="仿宋_GB2312" w:hAnsi="仿宋_GB2312" w:cs="仿宋_GB2312" w:eastAsia="仿宋_GB2312"/>
        </w:rPr>
        <w:t>10、企业信用查询：供应商通过“信用中国”网站(www.creditchina.gov.cn)、中国政府采购网(www.ccgp.gov.cn)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11、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12、本项目不接受联合体投标，不允许分包：本项目不接受联合体投标，不允许分包。供应商提供《非联合体不分包投标声明》，视为独立投标，不分包。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西安市航天中路398号寰宇大厦西侧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029-85875753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采购包1：446,100.00元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航天基地2026-2027年市政建设项目-一图三表编制、项目建议书编制、可行性研报告服务，1项。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446,100.00</w:t>
      </w:r>
    </w:p>
    <w:p>
      <w:pPr>
        <w:pStyle w:val="null3"/>
      </w:pPr>
      <w:r>
        <w:rPr>
          <w:rFonts w:ascii="仿宋_GB2312" w:hAnsi="仿宋_GB2312" w:cs="仿宋_GB2312" w:eastAsia="仿宋_GB2312"/>
        </w:rPr>
        <w:t>采购包最高限价（元）: 446,100.00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航天基地2026-2027年市政建设项目-一图三表编制项目建议书编制可行性研究报告服务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446,100.00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标的名称：航天基地2026-2027年市政建设项目-一图三表编制项目建议书编制可行性研究报告服务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both"/>
            </w:pPr>
            <w:r>
              <w:rPr>
                <w:rFonts w:ascii="仿宋_GB2312" w:hAnsi="仿宋_GB2312" w:cs="仿宋_GB2312" w:eastAsia="仿宋_GB2312"/>
                <w:sz w:val="24"/>
                <w:b/>
              </w:rPr>
              <w:t>一、项目概况</w:t>
            </w:r>
          </w:p>
          <w:p>
            <w:pPr>
              <w:pStyle w:val="null3"/>
              <w:ind w:firstLine="528"/>
              <w:jc w:val="both"/>
            </w:pPr>
            <w:r>
              <w:rPr>
                <w:rFonts w:ascii="仿宋_GB2312" w:hAnsi="仿宋_GB2312" w:cs="仿宋_GB2312" w:eastAsia="仿宋_GB2312"/>
                <w:sz w:val="24"/>
              </w:rPr>
              <w:t>建设项目为航天基地</w:t>
            </w:r>
            <w:r>
              <w:rPr>
                <w:rFonts w:ascii="仿宋_GB2312" w:hAnsi="仿宋_GB2312" w:cs="仿宋_GB2312" w:eastAsia="仿宋_GB2312"/>
                <w:sz w:val="24"/>
              </w:rPr>
              <w:t>2026-2027年市政建设项目（航天基地城市雨水设施建设项目、航天基地城市污水设施建设项目、航天基地城市供水设施建设项目、航天基地城市线缆管廊建设项目、航天基地城市综合管网建设项目、航天基地城市道路建设项目）</w:t>
            </w:r>
            <w:r>
              <w:rPr>
                <w:rFonts w:ascii="仿宋_GB2312" w:hAnsi="仿宋_GB2312" w:cs="仿宋_GB2312" w:eastAsia="仿宋_GB2312"/>
                <w:sz w:val="24"/>
              </w:rPr>
              <w:t>，共包含</w:t>
            </w:r>
            <w:r>
              <w:rPr>
                <w:rFonts w:ascii="仿宋_GB2312" w:hAnsi="仿宋_GB2312" w:cs="仿宋_GB2312" w:eastAsia="仿宋_GB2312"/>
                <w:sz w:val="24"/>
              </w:rPr>
              <w:t>9条市政道路，道路名称分别为航天南路支三（雁引路支二—雁引东路）、新雁引路（航天南路—长征三路）、长征一路（雁引路—雁引东路）、长征二路（天和五路—雁引东路）、雁引东路（航天南路—长征三路）、天和五路（长征二路—长征三路）、天和二路（长征二路—长征三路北侧规划路）、天和四路（长征二路—长征三路）和长征三路（雁引路—雁引东路），城市道路建设项目包含内容为：道路、雨水、污水、给水、电力、通信、交通、照明、绿化、海绵城市等市政专业。</w:t>
            </w:r>
          </w:p>
          <w:p>
            <w:pPr>
              <w:pStyle w:val="null3"/>
              <w:jc w:val="both"/>
            </w:pPr>
            <w:r>
              <w:rPr>
                <w:rFonts w:ascii="仿宋_GB2312" w:hAnsi="仿宋_GB2312" w:cs="仿宋_GB2312" w:eastAsia="仿宋_GB2312"/>
                <w:sz w:val="24"/>
                <w:b/>
              </w:rPr>
              <w:t>二、服务内容</w:t>
            </w:r>
          </w:p>
          <w:p>
            <w:pPr>
              <w:pStyle w:val="null3"/>
              <w:ind w:firstLine="528"/>
              <w:jc w:val="both"/>
            </w:pPr>
            <w:r>
              <w:rPr>
                <w:rFonts w:ascii="仿宋_GB2312" w:hAnsi="仿宋_GB2312" w:cs="仿宋_GB2312" w:eastAsia="仿宋_GB2312"/>
                <w:sz w:val="24"/>
              </w:rPr>
              <w:t>航天基地</w:t>
            </w:r>
            <w:r>
              <w:rPr>
                <w:rFonts w:ascii="仿宋_GB2312" w:hAnsi="仿宋_GB2312" w:cs="仿宋_GB2312" w:eastAsia="仿宋_GB2312"/>
                <w:sz w:val="24"/>
              </w:rPr>
              <w:t>2026-2027年市政建设项目-一图三表编制、项目建议书编制、可行性研究报告服务：根据相关资料，对接相关行业主管和管理部门，编制一图三表</w:t>
            </w:r>
            <w:r>
              <w:rPr>
                <w:rFonts w:ascii="仿宋_GB2312" w:hAnsi="仿宋_GB2312" w:cs="仿宋_GB2312" w:eastAsia="仿宋_GB2312"/>
                <w:sz w:val="24"/>
              </w:rPr>
              <w:t>、</w:t>
            </w:r>
            <w:r>
              <w:rPr>
                <w:rFonts w:ascii="仿宋_GB2312" w:hAnsi="仿宋_GB2312" w:cs="仿宋_GB2312" w:eastAsia="仿宋_GB2312"/>
                <w:sz w:val="24"/>
              </w:rPr>
              <w:t>项目建议书、可行性研究报告成果，满足国家有关规定，并全程协助配合甲方推进本项目涉及的相关审批工作，进行技术支持并参与评审、汇报等。</w:t>
            </w:r>
          </w:p>
          <w:p>
            <w:pPr>
              <w:pStyle w:val="null3"/>
              <w:ind w:firstLine="74"/>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商务要求</w:t>
            </w:r>
          </w:p>
          <w:p>
            <w:pPr>
              <w:pStyle w:val="null3"/>
              <w:ind w:firstLine="617"/>
              <w:jc w:val="both"/>
            </w:pPr>
            <w:r>
              <w:rPr>
                <w:rFonts w:ascii="仿宋_GB2312" w:hAnsi="仿宋_GB2312" w:cs="仿宋_GB2312" w:eastAsia="仿宋_GB2312"/>
                <w:sz w:val="24"/>
              </w:rPr>
              <w:t>（一）服务期限</w:t>
            </w:r>
          </w:p>
          <w:p>
            <w:pPr>
              <w:pStyle w:val="null3"/>
              <w:ind w:firstLine="528"/>
              <w:jc w:val="both"/>
            </w:pPr>
            <w:r>
              <w:rPr>
                <w:rFonts w:ascii="仿宋_GB2312" w:hAnsi="仿宋_GB2312" w:cs="仿宋_GB2312" w:eastAsia="仿宋_GB2312"/>
                <w:sz w:val="24"/>
              </w:rPr>
              <w:t>服务期限：自合同签订之日起</w:t>
            </w:r>
            <w:r>
              <w:rPr>
                <w:rFonts w:ascii="仿宋_GB2312" w:hAnsi="仿宋_GB2312" w:cs="仿宋_GB2312" w:eastAsia="仿宋_GB2312"/>
                <w:sz w:val="24"/>
              </w:rPr>
              <w:t>至</w:t>
            </w:r>
            <w:r>
              <w:rPr>
                <w:rFonts w:ascii="仿宋_GB2312" w:hAnsi="仿宋_GB2312" w:cs="仿宋_GB2312" w:eastAsia="仿宋_GB2312"/>
                <w:sz w:val="24"/>
              </w:rPr>
              <w:t>可行性研究报告</w:t>
            </w:r>
            <w:r>
              <w:rPr>
                <w:rFonts w:ascii="仿宋_GB2312" w:hAnsi="仿宋_GB2312" w:cs="仿宋_GB2312" w:eastAsia="仿宋_GB2312"/>
                <w:sz w:val="24"/>
              </w:rPr>
              <w:t>批复止</w:t>
            </w:r>
            <w:r>
              <w:rPr>
                <w:rFonts w:ascii="仿宋_GB2312" w:hAnsi="仿宋_GB2312" w:cs="仿宋_GB2312" w:eastAsia="仿宋_GB2312"/>
                <w:sz w:val="24"/>
              </w:rPr>
              <w:t>。</w:t>
            </w:r>
          </w:p>
          <w:p>
            <w:pPr>
              <w:pStyle w:val="null3"/>
              <w:ind w:firstLine="617"/>
              <w:jc w:val="both"/>
            </w:pPr>
            <w:r>
              <w:rPr>
                <w:rFonts w:ascii="仿宋_GB2312" w:hAnsi="仿宋_GB2312" w:cs="仿宋_GB2312" w:eastAsia="仿宋_GB2312"/>
                <w:sz w:val="24"/>
              </w:rPr>
              <w:t>(二)款项结算</w:t>
            </w:r>
          </w:p>
          <w:p>
            <w:pPr>
              <w:pStyle w:val="null3"/>
              <w:ind w:firstLine="528"/>
              <w:jc w:val="both"/>
            </w:pPr>
            <w:r>
              <w:rPr>
                <w:rFonts w:ascii="仿宋_GB2312" w:hAnsi="仿宋_GB2312" w:cs="仿宋_GB2312" w:eastAsia="仿宋_GB2312"/>
                <w:sz w:val="24"/>
              </w:rPr>
              <w:t>完成项目一图三表、项目建议书及可行性研究报告并通过</w:t>
            </w:r>
            <w:r>
              <w:rPr>
                <w:rFonts w:ascii="仿宋_GB2312" w:hAnsi="仿宋_GB2312" w:cs="仿宋_GB2312" w:eastAsia="仿宋_GB2312"/>
                <w:sz w:val="24"/>
              </w:rPr>
              <w:t>审批</w:t>
            </w:r>
            <w:r>
              <w:rPr>
                <w:rFonts w:ascii="仿宋_GB2312" w:hAnsi="仿宋_GB2312" w:cs="仿宋_GB2312" w:eastAsia="仿宋_GB2312"/>
                <w:sz w:val="24"/>
              </w:rPr>
              <w:t>后，一次性支付合同总价的</w:t>
            </w:r>
            <w:r>
              <w:rPr>
                <w:rFonts w:ascii="仿宋_GB2312" w:hAnsi="仿宋_GB2312" w:cs="仿宋_GB2312" w:eastAsia="仿宋_GB2312"/>
                <w:sz w:val="24"/>
              </w:rPr>
              <w:t>100%。</w:t>
            </w:r>
          </w:p>
          <w:p>
            <w:pPr>
              <w:pStyle w:val="null3"/>
              <w:jc w:val="both"/>
            </w:pPr>
            <w:r>
              <w:rPr>
                <w:rFonts w:ascii="仿宋_GB2312" w:hAnsi="仿宋_GB2312" w:cs="仿宋_GB2312" w:eastAsia="仿宋_GB2312"/>
                <w:sz w:val="24"/>
                <w:b/>
              </w:rPr>
              <w:t>四、成果要求</w:t>
            </w:r>
          </w:p>
          <w:p>
            <w:pPr>
              <w:pStyle w:val="null3"/>
              <w:ind w:firstLine="528"/>
              <w:jc w:val="both"/>
            </w:pPr>
            <w:r>
              <w:rPr>
                <w:rFonts w:ascii="仿宋_GB2312" w:hAnsi="仿宋_GB2312" w:cs="仿宋_GB2312" w:eastAsia="仿宋_GB2312"/>
                <w:sz w:val="24"/>
              </w:rPr>
              <w:t>1、供应商成果应按照六个子项分别出具，具体为：</w:t>
            </w:r>
          </w:p>
          <w:p>
            <w:pPr>
              <w:pStyle w:val="null3"/>
              <w:ind w:firstLine="528"/>
              <w:jc w:val="both"/>
            </w:pPr>
            <w:r>
              <w:rPr>
                <w:rFonts w:ascii="仿宋_GB2312" w:hAnsi="仿宋_GB2312" w:cs="仿宋_GB2312" w:eastAsia="仿宋_GB2312"/>
                <w:sz w:val="24"/>
              </w:rPr>
              <w:t>(1)航天基地2026-2027年市政建设项目-航天基地城市综合管网建设项目</w:t>
            </w:r>
          </w:p>
          <w:p>
            <w:pPr>
              <w:pStyle w:val="null3"/>
              <w:ind w:firstLine="528"/>
              <w:jc w:val="both"/>
            </w:pPr>
            <w:r>
              <w:rPr>
                <w:rFonts w:ascii="仿宋_GB2312" w:hAnsi="仿宋_GB2312" w:cs="仿宋_GB2312" w:eastAsia="仿宋_GB2312"/>
                <w:sz w:val="24"/>
              </w:rPr>
              <w:t>(2)航天基地2026-2027年市政建设项目-航天基地城市线缆管廊建设项目</w:t>
            </w:r>
          </w:p>
          <w:p>
            <w:pPr>
              <w:pStyle w:val="null3"/>
              <w:ind w:firstLine="528"/>
              <w:jc w:val="both"/>
            </w:pPr>
            <w:r>
              <w:rPr>
                <w:rFonts w:ascii="仿宋_GB2312" w:hAnsi="仿宋_GB2312" w:cs="仿宋_GB2312" w:eastAsia="仿宋_GB2312"/>
                <w:sz w:val="24"/>
              </w:rPr>
              <w:t>(3)航天基地2026-2027年市政建设项目-航天基地城市雨水设施建设项目</w:t>
            </w:r>
          </w:p>
          <w:p>
            <w:pPr>
              <w:pStyle w:val="null3"/>
              <w:ind w:firstLine="528"/>
              <w:jc w:val="both"/>
            </w:pPr>
            <w:r>
              <w:rPr>
                <w:rFonts w:ascii="仿宋_GB2312" w:hAnsi="仿宋_GB2312" w:cs="仿宋_GB2312" w:eastAsia="仿宋_GB2312"/>
                <w:sz w:val="24"/>
              </w:rPr>
              <w:t>(4) 航天基地2026-2027年市政建设项目-航天基地城市污水设施建设项目</w:t>
            </w:r>
          </w:p>
          <w:p>
            <w:pPr>
              <w:pStyle w:val="null3"/>
              <w:ind w:firstLine="528"/>
              <w:jc w:val="both"/>
            </w:pPr>
            <w:r>
              <w:rPr>
                <w:rFonts w:ascii="仿宋_GB2312" w:hAnsi="仿宋_GB2312" w:cs="仿宋_GB2312" w:eastAsia="仿宋_GB2312"/>
                <w:sz w:val="24"/>
              </w:rPr>
              <w:t>(5) 航天基地2026-2027年市政建设项目-航天基地城市道路建设项目</w:t>
            </w:r>
          </w:p>
          <w:p>
            <w:pPr>
              <w:pStyle w:val="null3"/>
              <w:ind w:firstLine="528"/>
              <w:jc w:val="both"/>
            </w:pPr>
            <w:r>
              <w:rPr>
                <w:rFonts w:ascii="仿宋_GB2312" w:hAnsi="仿宋_GB2312" w:cs="仿宋_GB2312" w:eastAsia="仿宋_GB2312"/>
                <w:sz w:val="24"/>
              </w:rPr>
              <w:t>(6) 航天基地2026-2027年市政建设项目-航天基地城市供水设施建设项目</w:t>
            </w:r>
          </w:p>
          <w:p>
            <w:pPr>
              <w:pStyle w:val="null3"/>
              <w:ind w:firstLine="528"/>
              <w:jc w:val="both"/>
            </w:pPr>
            <w:r>
              <w:rPr>
                <w:rFonts w:ascii="仿宋_GB2312" w:hAnsi="仿宋_GB2312" w:cs="仿宋_GB2312" w:eastAsia="仿宋_GB2312"/>
                <w:sz w:val="24"/>
              </w:rPr>
              <w:t>2、供应商应</w:t>
            </w:r>
            <w:r>
              <w:rPr>
                <w:rFonts w:ascii="仿宋_GB2312" w:hAnsi="仿宋_GB2312" w:cs="仿宋_GB2312" w:eastAsia="仿宋_GB2312"/>
                <w:sz w:val="24"/>
              </w:rPr>
              <w:t>按子项</w:t>
            </w:r>
            <w:r>
              <w:rPr>
                <w:rFonts w:ascii="仿宋_GB2312" w:hAnsi="仿宋_GB2312" w:cs="仿宋_GB2312" w:eastAsia="仿宋_GB2312"/>
                <w:sz w:val="24"/>
              </w:rPr>
              <w:t>向采购人提供纸质资料及电子资料</w:t>
            </w:r>
            <w:r>
              <w:rPr>
                <w:rFonts w:ascii="仿宋_GB2312" w:hAnsi="仿宋_GB2312" w:cs="仿宋_GB2312" w:eastAsia="仿宋_GB2312"/>
                <w:sz w:val="24"/>
              </w:rPr>
              <w:t>，</w:t>
            </w:r>
            <w:r>
              <w:rPr>
                <w:rFonts w:ascii="仿宋_GB2312" w:hAnsi="仿宋_GB2312" w:cs="仿宋_GB2312" w:eastAsia="仿宋_GB2312"/>
                <w:sz w:val="24"/>
              </w:rPr>
              <w:t>每个子项提供</w:t>
            </w:r>
            <w:r>
              <w:rPr>
                <w:rFonts w:ascii="仿宋_GB2312" w:hAnsi="仿宋_GB2312" w:cs="仿宋_GB2312" w:eastAsia="仿宋_GB2312"/>
                <w:sz w:val="24"/>
              </w:rPr>
              <w:t>4套纸质版1套电子版资料</w:t>
            </w:r>
            <w:r>
              <w:rPr>
                <w:rFonts w:ascii="仿宋_GB2312" w:hAnsi="仿宋_GB2312" w:cs="仿宋_GB2312" w:eastAsia="仿宋_GB2312"/>
                <w:sz w:val="24"/>
              </w:rPr>
              <w:t>。</w:t>
            </w:r>
          </w:p>
          <w:p>
            <w:pPr>
              <w:pStyle w:val="null3"/>
              <w:ind w:firstLine="74"/>
              <w:jc w:val="both"/>
            </w:pPr>
            <w:r>
              <w:rPr>
                <w:rFonts w:ascii="仿宋_GB2312" w:hAnsi="仿宋_GB2312" w:cs="仿宋_GB2312" w:eastAsia="仿宋_GB2312"/>
                <w:sz w:val="24"/>
                <w:b/>
              </w:rPr>
              <w:t>五</w:t>
            </w:r>
            <w:r>
              <w:rPr>
                <w:rFonts w:ascii="仿宋_GB2312" w:hAnsi="仿宋_GB2312" w:cs="仿宋_GB2312" w:eastAsia="仿宋_GB2312"/>
                <w:sz w:val="24"/>
                <w:b/>
              </w:rPr>
              <w:t>、其他</w:t>
            </w:r>
          </w:p>
          <w:p>
            <w:pPr>
              <w:pStyle w:val="null3"/>
            </w:pPr>
            <w:r>
              <w:rPr>
                <w:rFonts w:ascii="仿宋_GB2312" w:hAnsi="仿宋_GB2312" w:cs="仿宋_GB2312" w:eastAsia="仿宋_GB2312"/>
                <w:sz w:val="24"/>
              </w:rPr>
              <w:t>质量验收标准或规范</w:t>
            </w:r>
            <w:r>
              <w:rPr>
                <w:rFonts w:ascii="仿宋_GB2312" w:hAnsi="仿宋_GB2312" w:cs="仿宋_GB2312" w:eastAsia="仿宋_GB2312"/>
                <w:sz w:val="24"/>
              </w:rPr>
              <w:t>：</w:t>
            </w:r>
            <w:r>
              <w:rPr>
                <w:rFonts w:ascii="仿宋_GB2312" w:hAnsi="仿宋_GB2312" w:cs="仿宋_GB2312" w:eastAsia="仿宋_GB2312"/>
                <w:sz w:val="24"/>
              </w:rPr>
              <w:t>符合</w:t>
            </w:r>
            <w:r>
              <w:rPr>
                <w:rFonts w:ascii="仿宋_GB2312" w:hAnsi="仿宋_GB2312" w:cs="仿宋_GB2312" w:eastAsia="仿宋_GB2312"/>
                <w:sz w:val="24"/>
              </w:rPr>
              <w:t>现行的国家标准或国家行政部门颁布的法律法规、规章制度等行业标准。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服务期限：自合同签订之日起至可行性研究报告批复止。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完成项目一图三表、项目建议书及可行性研究报告并通过审批后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航天基地2026-2027年市政建设项目-一图三表编制、项目建议书编制、可行性研报告服务”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企业备案</w:t>
            </w:r>
          </w:p>
        </w:tc>
        <w:tc>
          <w:tcPr>
            <w:tcW w:type="dxa" w:w="3322"/>
          </w:tcPr>
          <w:p>
            <w:pPr>
              <w:pStyle w:val="null3"/>
            </w:pPr>
            <w:r>
              <w:rPr>
                <w:rFonts w:ascii="仿宋_GB2312" w:hAnsi="仿宋_GB2312" w:cs="仿宋_GB2312" w:eastAsia="仿宋_GB2312"/>
              </w:rPr>
              <w:t>供应商须通过“国家投资项目在线审批监管平台”登记备案，咨询专业需包括市政公用工程；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供应商具备市政公用专业咨询工程师(投资)登记证书并在本单位登记；</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的实施背景、实施目的、实施意义等具备充分的认识。对本项目的总体认识定位准确，理解深刻，表述清晰，对项目实施的重点、难点把握精准计7分；对本项目的总体认识定位基本准确，表述清晰，对项目实施的重点、难点具有一定的认识计5分；对本项目的总体认识定位较准确，理解不够深刻，对项目实施的重点、难点把握有偏离计3分；项目认识及定位偏差大，把握不准计1分；相关内容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供应商针对本项目提供总体服务方案，包括但不限于①项目工作开展流程；②工作思路和原则；③工作依据和方法；④工作要点。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供应商针对本项目提供进度安排方案，包括但不限于①项目总体进度目标；②项目进度安排；③进度保障措施等。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一、供应商针对本项目的项目团队配备，包括但不限于：①项目组织架构；②项目团队人员配备及岗位职责。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组织架构不合理；逻辑混乱、前后表述矛盾；岗位职责分工不明确；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供应商针对本项目提供质量控制方案，包括但不限于：①服务质量保证措施；②质量保证目标及方案；③质量保证承诺。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针对本项目实际情况，提出合理化建议及服务承诺。提出的合理化建议对造价控制有明显的提升，且可实施性强，服务承诺内容全面、合理计6分；合理化建议实施性一般，服务承诺基本全面、合理计3分； 合理化建议实施性较差，服务承诺内容简单空泛计1分。无相关内容计0分。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 供应商针对本项目提供后续服务方案，包含但不限于：①廉洁保密承诺；②与采购人配合方案；③针对批复过程有可能的存在问题及解决措施等。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包括一图三表编制或项目建议书编制或可行性研报告服务任意一个），响应文件中附有其业绩证明材料，业绩以合同为依据，每提供一个计2分，满分8分。（注：响应文件中提供复印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