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3F70F1">
      <w:pPr>
        <w:spacing w:line="36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  <w:t>（本格式合同条款供双方签订合同参考，采购人可根据项目的实际情况增减条款和内容）</w:t>
      </w:r>
    </w:p>
    <w:p w14:paraId="360B77FE">
      <w:pPr>
        <w:pStyle w:val="4"/>
      </w:pPr>
    </w:p>
    <w:p w14:paraId="20AAE4DB">
      <w:pPr>
        <w:pStyle w:val="4"/>
      </w:pPr>
      <w:r>
        <w:rPr>
          <w:rFonts w:ascii="仿宋_GB2312" w:hAnsi="仿宋_GB2312" w:eastAsia="仿宋_GB2312" w:cs="仿宋_GB2312"/>
        </w:rPr>
        <w:t xml:space="preserve"> </w:t>
      </w:r>
      <w:r>
        <w:rPr>
          <w:rFonts w:ascii="仿宋_GB2312" w:hAnsi="仿宋_GB2312" w:eastAsia="仿宋_GB2312" w:cs="仿宋_GB2312"/>
        </w:rPr>
        <w:br w:type="textWrapping"/>
      </w:r>
      <w:r>
        <w:rPr>
          <w:rFonts w:ascii="仿宋_GB2312" w:hAnsi="仿宋_GB2312" w:eastAsia="仿宋_GB2312" w:cs="仿宋_GB2312"/>
        </w:rPr>
        <w:br w:type="page"/>
      </w:r>
    </w:p>
    <w:p w14:paraId="0C8AA89E">
      <w:pPr>
        <w:spacing w:line="360" w:lineRule="auto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en-US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bidi="en-US"/>
        </w:rPr>
        <w:t xml:space="preserve">政府采购项目 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en-US"/>
        </w:rPr>
        <w:t xml:space="preserve">                                 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bdr w:val="single" w:color="auto" w:sz="4" w:space="0"/>
          <w:lang w:bidi="en-US"/>
        </w:rPr>
        <w:t>竞争性磋商</w:t>
      </w:r>
    </w:p>
    <w:p w14:paraId="45911CA6">
      <w:pPr>
        <w:spacing w:line="360" w:lineRule="auto"/>
        <w:jc w:val="center"/>
        <w:outlineLvl w:val="2"/>
        <w:rPr>
          <w:rFonts w:hint="eastAsia" w:ascii="仿宋" w:hAnsi="仿宋" w:eastAsia="仿宋" w:cs="仿宋"/>
          <w:b/>
          <w:bCs/>
          <w:sz w:val="44"/>
          <w:szCs w:val="44"/>
          <w:lang w:val="en-US" w:eastAsia="zh-CN" w:bidi="zh-TW"/>
        </w:rPr>
      </w:pPr>
    </w:p>
    <w:p w14:paraId="01DCE2D2">
      <w:pPr>
        <w:spacing w:line="360" w:lineRule="auto"/>
        <w:jc w:val="center"/>
        <w:outlineLvl w:val="2"/>
        <w:rPr>
          <w:rFonts w:hint="eastAsia" w:ascii="仿宋" w:hAnsi="仿宋" w:eastAsia="仿宋" w:cs="仿宋"/>
          <w:b/>
          <w:bCs/>
          <w:sz w:val="44"/>
          <w:szCs w:val="44"/>
          <w:lang w:val="en-US" w:eastAsia="zh-CN" w:bidi="zh-TW"/>
        </w:rPr>
      </w:pPr>
    </w:p>
    <w:p w14:paraId="4871C5D5">
      <w:pPr>
        <w:spacing w:line="480" w:lineRule="auto"/>
        <w:jc w:val="center"/>
        <w:outlineLvl w:val="2"/>
        <w:rPr>
          <w:rFonts w:hint="eastAsia" w:ascii="仿宋" w:hAnsi="仿宋" w:eastAsia="仿宋" w:cs="仿宋"/>
          <w:b/>
          <w:bCs/>
          <w:sz w:val="44"/>
          <w:szCs w:val="44"/>
          <w:lang w:val="en-US" w:eastAsia="zh-CN" w:bidi="zh-TW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 w:bidi="zh-TW"/>
        </w:rPr>
        <w:t>航天基地2026-2027年市政建设项目-一图三表编制、项目建议书编制、可行性研报告服务</w:t>
      </w:r>
    </w:p>
    <w:p w14:paraId="15993759">
      <w:pPr>
        <w:keepNext/>
        <w:keepLines/>
        <w:spacing w:after="120" w:line="360" w:lineRule="auto"/>
        <w:jc w:val="center"/>
        <w:outlineLvl w:val="0"/>
        <w:rPr>
          <w:rFonts w:hint="eastAsia" w:ascii="仿宋" w:hAnsi="仿宋" w:eastAsia="仿宋" w:cs="仿宋"/>
          <w:b/>
          <w:bCs/>
          <w:sz w:val="72"/>
          <w:szCs w:val="72"/>
          <w:lang w:val="zh-TW" w:eastAsia="zh-TW" w:bidi="zh-TW"/>
        </w:rPr>
      </w:pPr>
      <w:bookmarkStart w:id="0" w:name="_Toc14926"/>
    </w:p>
    <w:p w14:paraId="41E474E1">
      <w:pPr>
        <w:keepNext/>
        <w:keepLines/>
        <w:spacing w:after="120" w:line="360" w:lineRule="auto"/>
        <w:jc w:val="center"/>
        <w:outlineLvl w:val="0"/>
        <w:rPr>
          <w:rFonts w:hint="eastAsia" w:ascii="仿宋" w:hAnsi="仿宋" w:eastAsia="仿宋" w:cs="仿宋"/>
          <w:b/>
          <w:bCs/>
          <w:color w:val="000000"/>
          <w:sz w:val="72"/>
          <w:szCs w:val="72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72"/>
          <w:szCs w:val="72"/>
          <w:lang w:val="zh-TW" w:eastAsia="zh-TW" w:bidi="zh-TW"/>
        </w:rPr>
        <w:t>服务合同</w:t>
      </w:r>
      <w:bookmarkEnd w:id="0"/>
    </w:p>
    <w:p w14:paraId="0DD7F0F2">
      <w:pPr>
        <w:spacing w:after="120" w:line="360" w:lineRule="auto"/>
        <w:jc w:val="center"/>
        <w:rPr>
          <w:rFonts w:hint="eastAsia" w:ascii="仿宋" w:hAnsi="仿宋" w:eastAsia="仿宋" w:cs="仿宋"/>
          <w:color w:val="000000"/>
          <w:sz w:val="30"/>
          <w:szCs w:val="30"/>
          <w:lang w:val="zh-TW" w:eastAsia="zh-TW" w:bidi="zh-TW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lang w:val="zh-TW" w:eastAsia="zh-TW" w:bidi="zh-TW"/>
        </w:rPr>
        <w:t>（编号：HYTF-202604018）</w:t>
      </w:r>
    </w:p>
    <w:p w14:paraId="76EAA2EF">
      <w:pPr>
        <w:spacing w:after="460" w:line="360" w:lineRule="auto"/>
        <w:ind w:left="1360" w:firstLine="20"/>
        <w:jc w:val="left"/>
        <w:rPr>
          <w:rFonts w:hint="eastAsia" w:ascii="仿宋" w:hAnsi="仿宋" w:eastAsia="仿宋" w:cs="仿宋"/>
          <w:color w:val="000000"/>
          <w:sz w:val="30"/>
          <w:szCs w:val="30"/>
          <w:lang w:val="zh-TW" w:eastAsia="zh-TW" w:bidi="zh-TW"/>
        </w:rPr>
      </w:pPr>
    </w:p>
    <w:p w14:paraId="7EAC2583">
      <w:pPr>
        <w:spacing w:after="460" w:line="360" w:lineRule="auto"/>
        <w:ind w:left="1360" w:firstLine="20"/>
        <w:jc w:val="left"/>
        <w:rPr>
          <w:rFonts w:hint="eastAsia" w:ascii="仿宋" w:hAnsi="仿宋" w:eastAsia="仿宋" w:cs="仿宋"/>
          <w:color w:val="000000"/>
          <w:sz w:val="30"/>
          <w:szCs w:val="30"/>
          <w:lang w:val="zh-TW" w:eastAsia="zh-TW" w:bidi="zh-TW"/>
        </w:rPr>
      </w:pPr>
    </w:p>
    <w:p w14:paraId="585D754F">
      <w:pPr>
        <w:spacing w:after="460" w:line="360" w:lineRule="auto"/>
        <w:ind w:left="1360" w:firstLine="20"/>
        <w:jc w:val="left"/>
        <w:rPr>
          <w:rFonts w:hint="eastAsia" w:ascii="仿宋" w:hAnsi="仿宋" w:eastAsia="仿宋" w:cs="仿宋"/>
          <w:color w:val="000000"/>
          <w:sz w:val="30"/>
          <w:szCs w:val="30"/>
          <w:lang w:val="zh-TW" w:eastAsia="zh-TW" w:bidi="zh-TW"/>
        </w:rPr>
      </w:pPr>
    </w:p>
    <w:p w14:paraId="66B518CF">
      <w:pPr>
        <w:pStyle w:val="4"/>
        <w:ind w:firstLine="300" w:firstLineChars="100"/>
        <w:jc w:val="left"/>
        <w:outlineLvl w:val="2"/>
        <w:rPr>
          <w:rFonts w:hint="eastAsia" w:ascii="仿宋" w:hAnsi="仿宋" w:eastAsia="仿宋" w:cs="仿宋"/>
          <w:sz w:val="30"/>
          <w:szCs w:val="30"/>
          <w:lang w:val="zh-TW" w:eastAsia="zh-CN" w:bidi="zh-TW"/>
        </w:rPr>
      </w:pPr>
      <w:bookmarkStart w:id="1" w:name="bookmark5"/>
      <w:bookmarkStart w:id="2" w:name="bookmark3"/>
      <w:bookmarkStart w:id="3" w:name="bookmark4"/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>甲方：</w:t>
      </w:r>
    </w:p>
    <w:p w14:paraId="38E99470">
      <w:pPr>
        <w:pStyle w:val="4"/>
        <w:ind w:firstLine="300" w:firstLineChars="100"/>
        <w:jc w:val="both"/>
        <w:outlineLvl w:val="2"/>
        <w:rPr>
          <w:rFonts w:hint="eastAsia" w:ascii="仿宋" w:hAnsi="仿宋" w:eastAsia="仿宋" w:cs="仿宋"/>
          <w:sz w:val="30"/>
          <w:szCs w:val="30"/>
          <w:u w:val="single"/>
          <w:lang w:val="en-US" w:eastAsia="zh-CN" w:bidi="zh-TW"/>
        </w:rPr>
      </w:pPr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>乙方:</w:t>
      </w:r>
      <w:r>
        <w:rPr>
          <w:rFonts w:hint="eastAsia" w:ascii="仿宋" w:hAnsi="仿宋" w:eastAsia="仿宋" w:cs="仿宋"/>
          <w:sz w:val="30"/>
          <w:szCs w:val="30"/>
          <w:lang w:val="en-US" w:eastAsia="zh-CN" w:bidi="zh-TW"/>
        </w:rPr>
        <w:t xml:space="preserve">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 w:bidi="zh-TW"/>
        </w:rPr>
        <w:t xml:space="preserve">                         </w:t>
      </w:r>
    </w:p>
    <w:p w14:paraId="7471ED09">
      <w:pPr>
        <w:spacing w:after="480" w:line="360" w:lineRule="auto"/>
        <w:ind w:left="200" w:firstLine="3015" w:firstLineChars="1005"/>
        <w:jc w:val="left"/>
        <w:rPr>
          <w:rFonts w:hint="eastAsia" w:ascii="仿宋" w:hAnsi="仿宋" w:eastAsia="仿宋" w:cs="仿宋"/>
          <w:sz w:val="30"/>
          <w:szCs w:val="30"/>
          <w:lang w:val="zh-TW" w:eastAsia="zh-TW" w:bidi="zh-TW"/>
        </w:rPr>
      </w:pPr>
      <w:r>
        <w:rPr>
          <w:rFonts w:hint="eastAsia" w:ascii="仿宋" w:hAnsi="仿宋" w:eastAsia="仿宋" w:cs="仿宋"/>
          <w:sz w:val="30"/>
          <w:szCs w:val="30"/>
          <w:lang w:bidi="en-US"/>
        </w:rPr>
        <w:t>202</w:t>
      </w:r>
      <w:r>
        <w:rPr>
          <w:rFonts w:hint="eastAsia" w:ascii="仿宋" w:hAnsi="仿宋" w:eastAsia="仿宋" w:cs="仿宋"/>
          <w:sz w:val="30"/>
          <w:szCs w:val="30"/>
          <w:lang w:val="en-US" w:eastAsia="zh-CN" w:bidi="en-US"/>
        </w:rPr>
        <w:t>6</w:t>
      </w:r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>年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 w:bidi="zh-TW"/>
        </w:rPr>
        <w:t xml:space="preserve">   </w:t>
      </w:r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 xml:space="preserve">月 </w:t>
      </w:r>
    </w:p>
    <w:p w14:paraId="1C377816">
      <w:pPr>
        <w:spacing w:line="360" w:lineRule="auto"/>
        <w:ind w:left="1571" w:leftChars="748" w:firstLine="1776" w:firstLineChars="592"/>
        <w:jc w:val="left"/>
        <w:rPr>
          <w:rFonts w:hint="eastAsia" w:ascii="仿宋" w:hAnsi="仿宋" w:eastAsia="仿宋" w:cs="仿宋"/>
          <w:sz w:val="30"/>
          <w:szCs w:val="30"/>
          <w:lang w:val="zh-TW" w:eastAsia="zh-TW" w:bidi="zh-TW"/>
        </w:rPr>
      </w:pPr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>中国</w:t>
      </w:r>
      <w:r>
        <w:rPr>
          <w:rFonts w:hint="eastAsia" w:ascii="仿宋" w:hAnsi="仿宋" w:eastAsia="仿宋" w:cs="仿宋"/>
          <w:sz w:val="30"/>
          <w:szCs w:val="30"/>
          <w:lang w:val="en-US" w:eastAsia="zh-CN" w:bidi="zh-TW"/>
        </w:rPr>
        <w:t xml:space="preserve">  </w:t>
      </w:r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>西安</w:t>
      </w:r>
    </w:p>
    <w:p w14:paraId="02BF01A7">
      <w:pPr>
        <w:spacing w:line="360" w:lineRule="auto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bidi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bidi="en-US"/>
        </w:rPr>
        <w:br w:type="page"/>
      </w:r>
    </w:p>
    <w:bookmarkEnd w:id="1"/>
    <w:bookmarkEnd w:id="2"/>
    <w:bookmarkEnd w:id="3"/>
    <w:p w14:paraId="3F787649">
      <w:pPr>
        <w:pStyle w:val="4"/>
        <w:ind w:firstLine="240" w:firstLineChars="100"/>
        <w:jc w:val="left"/>
        <w:outlineLvl w:val="2"/>
        <w:rPr>
          <w:rFonts w:hint="eastAsia" w:eastAsiaTheme="minorEastAsia"/>
          <w:lang w:eastAsia="zh-CN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甲方（采购人名称全称）：</w:t>
      </w:r>
      <w:bookmarkStart w:id="5" w:name="_GoBack"/>
      <w:bookmarkEnd w:id="5"/>
    </w:p>
    <w:p w14:paraId="004D2BC0">
      <w:pPr>
        <w:spacing w:line="360" w:lineRule="auto"/>
        <w:ind w:firstLine="240" w:firstLineChars="100"/>
        <w:jc w:val="left"/>
        <w:rPr>
          <w:rFonts w:hint="eastAsia" w:ascii="仿宋" w:hAnsi="仿宋" w:eastAsia="仿宋" w:cs="仿宋"/>
          <w:sz w:val="24"/>
          <w:u w:val="single"/>
          <w:lang w:val="en-US" w:eastAsia="zh-CN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乙方（供应商名称全称）：</w:t>
      </w:r>
      <w:r>
        <w:rPr>
          <w:rFonts w:hint="eastAsia" w:ascii="仿宋" w:hAnsi="仿宋" w:eastAsia="仿宋" w:cs="仿宋"/>
          <w:sz w:val="24"/>
          <w:u w:val="single"/>
          <w:lang w:val="en-US" w:eastAsia="zh-CN" w:bidi="zh-TW"/>
        </w:rPr>
        <w:t xml:space="preserve">                           </w:t>
      </w:r>
    </w:p>
    <w:p w14:paraId="32AC3481">
      <w:pPr>
        <w:spacing w:line="360" w:lineRule="auto"/>
        <w:outlineLvl w:val="2"/>
        <w:rPr>
          <w:rFonts w:hint="eastAsia" w:ascii="仿宋" w:hAnsi="仿宋" w:eastAsia="仿宋" w:cs="仿宋"/>
          <w:sz w:val="24"/>
          <w:lang w:val="zh-TW" w:bidi="zh-TW"/>
        </w:rPr>
      </w:pPr>
      <w:r>
        <w:rPr>
          <w:rFonts w:hint="eastAsia" w:ascii="仿宋" w:hAnsi="仿宋" w:eastAsia="仿宋" w:cs="仿宋"/>
          <w:sz w:val="24"/>
          <w:lang w:val="en-US" w:eastAsia="zh-CN" w:bidi="zh-TW"/>
        </w:rPr>
        <w:t xml:space="preserve">    航天基地2026-2027年市政建设项目-一图三表编制、项目建议书编制、可行性研报告服务，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项目编号：HYTF-202604018，在</w:t>
      </w:r>
      <w:r>
        <w:rPr>
          <w:rFonts w:hint="eastAsia" w:ascii="仿宋" w:hAnsi="仿宋" w:eastAsia="仿宋" w:cs="仿宋"/>
          <w:sz w:val="24"/>
          <w:szCs w:val="24"/>
        </w:rPr>
        <w:t>西安国家民用航天产业基地财政金融局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的监督管理下，按照政府采购程序组织竞争性磋商，确定乙方</w:t>
      </w:r>
      <w:r>
        <w:rPr>
          <w:rFonts w:hint="eastAsia" w:ascii="仿宋" w:hAnsi="仿宋" w:eastAsia="仿宋" w:cs="仿宋"/>
          <w:sz w:val="24"/>
          <w:lang w:bidi="zh-TW"/>
        </w:rPr>
        <w:t>为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成交供应商。依据</w:t>
      </w:r>
      <w:r>
        <w:rPr>
          <w:rFonts w:hint="eastAsia" w:ascii="仿宋" w:hAnsi="仿宋" w:eastAsia="仿宋" w:cs="仿宋"/>
          <w:sz w:val="24"/>
          <w:lang w:bidi="zh-TW"/>
        </w:rPr>
        <w:t>《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中华人民共和国政府</w:t>
      </w:r>
      <w:r>
        <w:rPr>
          <w:rFonts w:hint="eastAsia" w:ascii="仿宋" w:hAnsi="仿宋" w:eastAsia="仿宋" w:cs="仿宋"/>
          <w:sz w:val="24"/>
          <w:lang w:bidi="zh-TW"/>
        </w:rPr>
        <w:t>采购法》、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《</w:t>
      </w:r>
      <w:r>
        <w:rPr>
          <w:rFonts w:hint="eastAsia" w:ascii="仿宋" w:hAnsi="仿宋" w:eastAsia="仿宋" w:cs="仿宋"/>
          <w:sz w:val="24"/>
          <w:lang w:bidi="zh-TW"/>
        </w:rPr>
        <w:t>中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华人民共和国民法典》以及竞争性</w:t>
      </w:r>
      <w:r>
        <w:rPr>
          <w:rFonts w:hint="eastAsia" w:ascii="仿宋" w:hAnsi="仿宋" w:eastAsia="仿宋" w:cs="仿宋"/>
          <w:sz w:val="24"/>
          <w:lang w:bidi="zh-TW"/>
        </w:rPr>
        <w:t>磋商文件、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成交通知书，经甲、乙双方协商，达成如下合同条款</w:t>
      </w:r>
      <w:r>
        <w:rPr>
          <w:rFonts w:hint="eastAsia" w:ascii="仿宋" w:hAnsi="仿宋" w:eastAsia="仿宋" w:cs="仿宋"/>
          <w:sz w:val="24"/>
          <w:lang w:val="zh-TW" w:bidi="zh-TW"/>
        </w:rPr>
        <w:t>。</w:t>
      </w:r>
    </w:p>
    <w:p w14:paraId="0FC14C64">
      <w:pPr>
        <w:spacing w:after="100"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val="zh-TW" w:bidi="zh-TW"/>
        </w:rPr>
      </w:pP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一、合同标的物内容及数量（以响应文件正本和澄清表〈函〉为准）</w:t>
      </w:r>
    </w:p>
    <w:tbl>
      <w:tblPr>
        <w:tblStyle w:val="2"/>
        <w:tblW w:w="88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30"/>
        <w:gridCol w:w="1266"/>
        <w:gridCol w:w="1266"/>
        <w:gridCol w:w="1266"/>
        <w:gridCol w:w="1266"/>
        <w:gridCol w:w="915"/>
        <w:gridCol w:w="1053"/>
        <w:gridCol w:w="1053"/>
      </w:tblGrid>
      <w:tr w14:paraId="00E21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73" w:hRule="exact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01CC6E6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序号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0CCF54C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服务名称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7130D1C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服务内容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2BE731E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计量单位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2CA1F0B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服务时间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E33CD1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数量</w:t>
            </w:r>
          </w:p>
        </w:tc>
        <w:tc>
          <w:tcPr>
            <w:tcW w:w="1053" w:type="dxa"/>
            <w:shd w:val="clear" w:color="auto" w:fill="auto"/>
            <w:vAlign w:val="center"/>
          </w:tcPr>
          <w:p w14:paraId="608B33C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单价</w:t>
            </w:r>
          </w:p>
          <w:p w14:paraId="2E72B23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（元）</w:t>
            </w:r>
          </w:p>
        </w:tc>
        <w:tc>
          <w:tcPr>
            <w:tcW w:w="1053" w:type="dxa"/>
            <w:shd w:val="clear" w:color="auto" w:fill="auto"/>
            <w:vAlign w:val="center"/>
          </w:tcPr>
          <w:p w14:paraId="10452D8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bidi="zh-TW"/>
              </w:rPr>
            </w:pPr>
            <w:r>
              <w:rPr>
                <w:rFonts w:hint="eastAsia" w:ascii="仿宋" w:hAnsi="仿宋" w:eastAsia="仿宋" w:cs="仿宋"/>
                <w:sz w:val="24"/>
                <w:lang w:bidi="zh-TW"/>
              </w:rPr>
              <w:t>总价</w:t>
            </w:r>
          </w:p>
          <w:p w14:paraId="5C21420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bidi="zh-TW"/>
              </w:rPr>
            </w:pPr>
            <w:r>
              <w:rPr>
                <w:rFonts w:hint="eastAsia" w:ascii="仿宋" w:hAnsi="仿宋" w:eastAsia="仿宋" w:cs="仿宋"/>
                <w:sz w:val="24"/>
                <w:lang w:bidi="zh-TW"/>
              </w:rPr>
              <w:t>（元）</w:t>
            </w:r>
          </w:p>
        </w:tc>
      </w:tr>
      <w:tr w14:paraId="57F3D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7" w:hRule="exact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02C7CA5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1</w:t>
            </w:r>
          </w:p>
        </w:tc>
        <w:tc>
          <w:tcPr>
            <w:tcW w:w="1266" w:type="dxa"/>
            <w:shd w:val="clear" w:color="auto" w:fill="auto"/>
          </w:tcPr>
          <w:p w14:paraId="24C6C71E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2CFC0FDB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0C67FF79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3673D9B6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15" w:type="dxa"/>
            <w:shd w:val="clear" w:color="auto" w:fill="auto"/>
          </w:tcPr>
          <w:p w14:paraId="67E0A507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5E4881F1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4599EC0E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77CF1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7" w:hRule="exact"/>
          <w:jc w:val="center"/>
        </w:trPr>
        <w:tc>
          <w:tcPr>
            <w:tcW w:w="730" w:type="dxa"/>
            <w:shd w:val="clear" w:color="auto" w:fill="auto"/>
            <w:vAlign w:val="bottom"/>
          </w:tcPr>
          <w:p w14:paraId="3AFF293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2</w:t>
            </w:r>
          </w:p>
        </w:tc>
        <w:tc>
          <w:tcPr>
            <w:tcW w:w="1266" w:type="dxa"/>
            <w:shd w:val="clear" w:color="auto" w:fill="auto"/>
          </w:tcPr>
          <w:p w14:paraId="4E8D03C5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7B65BB5F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1CDC96DA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68BF06F8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15" w:type="dxa"/>
            <w:shd w:val="clear" w:color="auto" w:fill="auto"/>
          </w:tcPr>
          <w:p w14:paraId="5DAF9EC6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253474BB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1118A1B1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09228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7" w:hRule="exact"/>
          <w:jc w:val="center"/>
        </w:trPr>
        <w:tc>
          <w:tcPr>
            <w:tcW w:w="730" w:type="dxa"/>
            <w:shd w:val="clear" w:color="auto" w:fill="auto"/>
            <w:vAlign w:val="bottom"/>
          </w:tcPr>
          <w:p w14:paraId="4C87795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3</w:t>
            </w:r>
          </w:p>
        </w:tc>
        <w:tc>
          <w:tcPr>
            <w:tcW w:w="1266" w:type="dxa"/>
            <w:shd w:val="clear" w:color="auto" w:fill="auto"/>
          </w:tcPr>
          <w:p w14:paraId="21D8DFBE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05A3E8B3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497442AA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0EC5E571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15" w:type="dxa"/>
            <w:shd w:val="clear" w:color="auto" w:fill="auto"/>
          </w:tcPr>
          <w:p w14:paraId="1CA8B126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41363C81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29AE7162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63379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7" w:hRule="exact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7AF13F5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4</w:t>
            </w:r>
          </w:p>
        </w:tc>
        <w:tc>
          <w:tcPr>
            <w:tcW w:w="1266" w:type="dxa"/>
            <w:shd w:val="clear" w:color="auto" w:fill="auto"/>
          </w:tcPr>
          <w:p w14:paraId="37B7A02A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4C4025FB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32D18973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0B31809D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15" w:type="dxa"/>
            <w:shd w:val="clear" w:color="auto" w:fill="auto"/>
          </w:tcPr>
          <w:p w14:paraId="3F6580ED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3C3AEAD5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62CA1BCD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5BFE9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5" w:hRule="exact"/>
          <w:jc w:val="center"/>
        </w:trPr>
        <w:tc>
          <w:tcPr>
            <w:tcW w:w="730" w:type="dxa"/>
            <w:shd w:val="clear" w:color="auto" w:fill="auto"/>
            <w:vAlign w:val="bottom"/>
          </w:tcPr>
          <w:p w14:paraId="03FC731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5</w:t>
            </w:r>
          </w:p>
        </w:tc>
        <w:tc>
          <w:tcPr>
            <w:tcW w:w="1266" w:type="dxa"/>
            <w:shd w:val="clear" w:color="auto" w:fill="auto"/>
          </w:tcPr>
          <w:p w14:paraId="6E9B0B6A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13F0FFBF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2C3B92B2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7F469885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15" w:type="dxa"/>
            <w:shd w:val="clear" w:color="auto" w:fill="auto"/>
          </w:tcPr>
          <w:p w14:paraId="0C88FA30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72592DDC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21334180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4E880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7" w:hRule="exact"/>
          <w:jc w:val="center"/>
        </w:trPr>
        <w:tc>
          <w:tcPr>
            <w:tcW w:w="730" w:type="dxa"/>
            <w:shd w:val="clear" w:color="auto" w:fill="auto"/>
            <w:vAlign w:val="bottom"/>
          </w:tcPr>
          <w:p w14:paraId="09C9258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6</w:t>
            </w:r>
          </w:p>
        </w:tc>
        <w:tc>
          <w:tcPr>
            <w:tcW w:w="1266" w:type="dxa"/>
            <w:shd w:val="clear" w:color="auto" w:fill="auto"/>
          </w:tcPr>
          <w:p w14:paraId="7A08BAA4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75BDCF22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0673E9B9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55242AFA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15" w:type="dxa"/>
            <w:shd w:val="clear" w:color="auto" w:fill="auto"/>
          </w:tcPr>
          <w:p w14:paraId="0327A581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12B1FCB8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5111C8DB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5A923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7" w:hRule="exact"/>
          <w:jc w:val="center"/>
        </w:trPr>
        <w:tc>
          <w:tcPr>
            <w:tcW w:w="730" w:type="dxa"/>
            <w:shd w:val="clear" w:color="auto" w:fill="auto"/>
            <w:vAlign w:val="bottom"/>
          </w:tcPr>
          <w:p w14:paraId="5BF2715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7</w:t>
            </w:r>
          </w:p>
        </w:tc>
        <w:tc>
          <w:tcPr>
            <w:tcW w:w="1266" w:type="dxa"/>
            <w:shd w:val="clear" w:color="auto" w:fill="auto"/>
          </w:tcPr>
          <w:p w14:paraId="6457AEF8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4C7345E7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01E79821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0D966A3C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15" w:type="dxa"/>
            <w:shd w:val="clear" w:color="auto" w:fill="auto"/>
          </w:tcPr>
          <w:p w14:paraId="6BC9CA73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3D9BA45B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370E36CF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5D93C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5" w:hRule="exact"/>
          <w:jc w:val="center"/>
        </w:trPr>
        <w:tc>
          <w:tcPr>
            <w:tcW w:w="730" w:type="dxa"/>
            <w:shd w:val="clear" w:color="auto" w:fill="auto"/>
            <w:vAlign w:val="bottom"/>
          </w:tcPr>
          <w:p w14:paraId="1334FC1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bidi="zh-TW"/>
              </w:rPr>
            </w:pPr>
            <w:r>
              <w:rPr>
                <w:rFonts w:hint="eastAsia" w:ascii="仿宋" w:hAnsi="仿宋" w:eastAsia="仿宋" w:cs="仿宋"/>
                <w:sz w:val="24"/>
                <w:lang w:bidi="zh-TW"/>
              </w:rPr>
              <w:t>...</w:t>
            </w:r>
          </w:p>
        </w:tc>
        <w:tc>
          <w:tcPr>
            <w:tcW w:w="1266" w:type="dxa"/>
            <w:shd w:val="clear" w:color="auto" w:fill="auto"/>
          </w:tcPr>
          <w:p w14:paraId="16F114FF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2584AF26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6E9FD3A3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4C86857E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15" w:type="dxa"/>
            <w:shd w:val="clear" w:color="auto" w:fill="auto"/>
          </w:tcPr>
          <w:p w14:paraId="7D2D10D0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15DEC9B4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65EB1D2E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1CCE7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7" w:hRule="exact"/>
          <w:jc w:val="center"/>
        </w:trPr>
        <w:tc>
          <w:tcPr>
            <w:tcW w:w="730" w:type="dxa"/>
            <w:shd w:val="clear" w:color="auto" w:fill="auto"/>
            <w:vAlign w:val="bottom"/>
          </w:tcPr>
          <w:p w14:paraId="5C260E2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bidi="zh-TW"/>
              </w:rPr>
              <w:t>N</w:t>
            </w:r>
          </w:p>
        </w:tc>
        <w:tc>
          <w:tcPr>
            <w:tcW w:w="1266" w:type="dxa"/>
            <w:shd w:val="clear" w:color="auto" w:fill="auto"/>
          </w:tcPr>
          <w:p w14:paraId="5511013C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43842B62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2FBA7EC7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5B98EDC2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15" w:type="dxa"/>
            <w:shd w:val="clear" w:color="auto" w:fill="auto"/>
          </w:tcPr>
          <w:p w14:paraId="64A6546E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705B6BD2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331EB935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44AA6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7" w:hRule="exact"/>
          <w:jc w:val="center"/>
        </w:trPr>
        <w:tc>
          <w:tcPr>
            <w:tcW w:w="730" w:type="dxa"/>
            <w:shd w:val="clear" w:color="auto" w:fill="auto"/>
            <w:vAlign w:val="bottom"/>
          </w:tcPr>
          <w:p w14:paraId="05660BA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合计</w:t>
            </w:r>
          </w:p>
        </w:tc>
        <w:tc>
          <w:tcPr>
            <w:tcW w:w="8085" w:type="dxa"/>
            <w:gridSpan w:val="7"/>
            <w:shd w:val="clear" w:color="auto" w:fill="auto"/>
          </w:tcPr>
          <w:p w14:paraId="56ACE215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0E961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5" w:hRule="exact"/>
          <w:jc w:val="center"/>
        </w:trPr>
        <w:tc>
          <w:tcPr>
            <w:tcW w:w="730" w:type="dxa"/>
            <w:shd w:val="clear" w:color="auto" w:fill="auto"/>
          </w:tcPr>
          <w:p w14:paraId="258078F6">
            <w:pPr>
              <w:spacing w:before="120"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备注</w:t>
            </w:r>
          </w:p>
        </w:tc>
        <w:tc>
          <w:tcPr>
            <w:tcW w:w="8085" w:type="dxa"/>
            <w:gridSpan w:val="7"/>
            <w:shd w:val="clear" w:color="auto" w:fill="auto"/>
          </w:tcPr>
          <w:p w14:paraId="2DDB1960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</w:tbl>
    <w:p w14:paraId="4EB44065">
      <w:pPr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（上表仅供参考,应根据项目具体内容修改填写，详细服务内容及明细</w:t>
      </w:r>
      <w:r>
        <w:rPr>
          <w:rFonts w:hint="eastAsia" w:ascii="仿宋" w:hAnsi="仿宋" w:eastAsia="仿宋" w:cs="仿宋"/>
          <w:b/>
          <w:bCs/>
          <w:sz w:val="24"/>
          <w:lang w:bidi="zh-TW"/>
        </w:rPr>
        <w:t>标准可附附件</w:t>
      </w: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或详见响应文件，需说明清楚）</w:t>
      </w:r>
    </w:p>
    <w:p w14:paraId="65B63BEB">
      <w:pPr>
        <w:spacing w:after="80" w:line="360" w:lineRule="auto"/>
        <w:ind w:firstLine="482" w:firstLineChars="200"/>
        <w:jc w:val="left"/>
        <w:rPr>
          <w:rFonts w:hint="eastAsia" w:ascii="仿宋" w:hAnsi="仿宋" w:eastAsia="仿宋" w:cs="仿宋"/>
          <w:sz w:val="24"/>
          <w:lang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二、</w:t>
      </w:r>
      <w:r>
        <w:rPr>
          <w:rFonts w:hint="eastAsia" w:ascii="仿宋" w:hAnsi="仿宋" w:eastAsia="仿宋" w:cs="仿宋"/>
          <w:b/>
          <w:bCs/>
          <w:sz w:val="24"/>
          <w:lang w:bidi="zh-TW"/>
        </w:rPr>
        <w:t>服务条件及内容要求</w:t>
      </w:r>
    </w:p>
    <w:p w14:paraId="5780AB81">
      <w:pPr>
        <w:spacing w:line="360" w:lineRule="auto"/>
        <w:ind w:firstLine="240" w:firstLineChars="100"/>
        <w:rPr>
          <w:rFonts w:hint="eastAsia" w:ascii="仿宋" w:hAnsi="仿宋" w:eastAsia="仿宋" w:cs="仿宋"/>
          <w:sz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一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服务期限：</w:t>
      </w:r>
      <w:r>
        <w:rPr>
          <w:rFonts w:hint="eastAsia" w:ascii="仿宋" w:hAnsi="仿宋" w:eastAsia="仿宋" w:cs="仿宋"/>
          <w:sz w:val="24"/>
          <w:u w:val="single"/>
          <w:lang w:val="en-US" w:eastAsia="zh-CN" w:bidi="zh-TW"/>
        </w:rPr>
        <w:t xml:space="preserve">                   </w:t>
      </w:r>
    </w:p>
    <w:p w14:paraId="2EFCF710">
      <w:pPr>
        <w:tabs>
          <w:tab w:val="left" w:pos="6015"/>
          <w:tab w:val="left" w:pos="7407"/>
        </w:tabs>
        <w:spacing w:line="360" w:lineRule="auto"/>
        <w:ind w:firstLine="240" w:firstLineChars="100"/>
        <w:jc w:val="left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（二）服务内容：详见</w:t>
      </w:r>
      <w:r>
        <w:rPr>
          <w:rFonts w:hint="eastAsia" w:ascii="仿宋" w:hAnsi="仿宋" w:eastAsia="仿宋" w:cs="仿宋"/>
          <w:sz w:val="24"/>
        </w:rPr>
        <w:t>采购内容及需求</w:t>
      </w:r>
      <w:r>
        <w:rPr>
          <w:rFonts w:hint="eastAsia" w:ascii="仿宋" w:hAnsi="仿宋" w:eastAsia="仿宋" w:cs="仿宋"/>
          <w:sz w:val="24"/>
          <w:lang w:bidi="zh-TW"/>
        </w:rPr>
        <w:t>。</w:t>
      </w:r>
    </w:p>
    <w:p w14:paraId="2795DC02">
      <w:pPr>
        <w:spacing w:line="360" w:lineRule="auto"/>
        <w:ind w:firstLine="241" w:firstLineChars="100"/>
        <w:rPr>
          <w:rFonts w:hint="eastAsia"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三、合同价款</w:t>
      </w:r>
    </w:p>
    <w:p w14:paraId="206AE062">
      <w:pPr>
        <w:tabs>
          <w:tab w:val="left" w:pos="6015"/>
          <w:tab w:val="left" w:pos="7407"/>
        </w:tabs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（一）合同价款：（大写）</w:t>
      </w:r>
      <w:r>
        <w:rPr>
          <w:rFonts w:hint="eastAsia" w:ascii="仿宋" w:hAnsi="仿宋" w:eastAsia="仿宋" w:cs="仿宋"/>
          <w:sz w:val="24"/>
          <w:u w:val="single"/>
          <w:lang w:val="en-US" w:eastAsia="zh-CN" w:bidi="zh-TW"/>
        </w:rPr>
        <w:t xml:space="preserve">           </w:t>
      </w:r>
      <w:r>
        <w:rPr>
          <w:rFonts w:hint="eastAsia" w:ascii="仿宋" w:hAnsi="仿宋" w:eastAsia="仿宋" w:cs="仿宋"/>
          <w:sz w:val="24"/>
          <w:lang w:bidi="zh-TW"/>
        </w:rPr>
        <w:t xml:space="preserve"> ，小写（￥</w:t>
      </w:r>
      <w:r>
        <w:rPr>
          <w:rFonts w:hint="eastAsia" w:ascii="仿宋" w:hAnsi="仿宋" w:eastAsia="仿宋" w:cs="仿宋"/>
          <w:sz w:val="24"/>
          <w:u w:val="single"/>
          <w:lang w:val="en-US" w:eastAsia="zh-CN" w:bidi="zh-TW"/>
        </w:rPr>
        <w:t xml:space="preserve">             </w:t>
      </w:r>
      <w:r>
        <w:rPr>
          <w:rFonts w:hint="eastAsia" w:ascii="仿宋" w:hAnsi="仿宋" w:eastAsia="仿宋" w:cs="仿宋"/>
          <w:sz w:val="24"/>
          <w:lang w:bidi="zh-TW"/>
        </w:rPr>
        <w:t>元）。</w:t>
      </w:r>
    </w:p>
    <w:p w14:paraId="71BAF779">
      <w:pPr>
        <w:tabs>
          <w:tab w:val="left" w:pos="6015"/>
          <w:tab w:val="left" w:pos="7407"/>
        </w:tabs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（二）合同总价包括：为完成合同全部服务内容可能发生的全部费用，同时还包含为完成本项目所需的一切成本、利润、税金和服务期内的全部风险。</w:t>
      </w:r>
    </w:p>
    <w:p w14:paraId="273A3AFD">
      <w:pPr>
        <w:tabs>
          <w:tab w:val="left" w:pos="6015"/>
          <w:tab w:val="left" w:pos="7407"/>
        </w:tabs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（三）合同总价不受市场价格变化因素的影响，一次性包死。</w:t>
      </w:r>
    </w:p>
    <w:p w14:paraId="0963A5F2">
      <w:pPr>
        <w:tabs>
          <w:tab w:val="left" w:pos="6015"/>
          <w:tab w:val="left" w:pos="7407"/>
        </w:tabs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四、款项结算</w:t>
      </w:r>
    </w:p>
    <w:p w14:paraId="09CC4238">
      <w:pPr>
        <w:pStyle w:val="4"/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  <w:lang w:val="zh-TW" w:eastAsia="zh-TW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zh-TW"/>
        </w:rPr>
        <w:t>（</w:t>
      </w:r>
      <w:r>
        <w:rPr>
          <w:rFonts w:hint="eastAsia" w:ascii="仿宋_GB2312" w:hAnsi="仿宋_GB2312" w:eastAsia="仿宋_GB2312" w:cs="仿宋_GB2312"/>
          <w:sz w:val="24"/>
          <w:szCs w:val="24"/>
        </w:rPr>
        <w:t>一</w:t>
      </w:r>
      <w:r>
        <w:rPr>
          <w:rFonts w:hint="eastAsia" w:ascii="仿宋_GB2312" w:hAnsi="仿宋_GB2312" w:eastAsia="仿宋_GB2312" w:cs="仿宋_GB2312"/>
          <w:sz w:val="24"/>
          <w:szCs w:val="24"/>
          <w:lang w:val="zh-TW"/>
        </w:rPr>
        <w:t>）</w:t>
      </w:r>
      <w:r>
        <w:rPr>
          <w:rFonts w:hint="eastAsia" w:ascii="仿宋_GB2312" w:hAnsi="仿宋_GB2312" w:eastAsia="仿宋_GB2312" w:cs="仿宋_GB2312"/>
          <w:sz w:val="24"/>
          <w:szCs w:val="24"/>
          <w:lang w:val="zh-TW" w:eastAsia="zh-TW"/>
        </w:rPr>
        <w:t>合同款的支付：</w:t>
      </w:r>
    </w:p>
    <w:p w14:paraId="3C03B08E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lightGray"/>
          <w:lang w:val="zh-TW" w:eastAsia="zh-TW" w:bidi="zh-TW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完成项目一图三表、项目建议书及可行性研究报告并通过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审批</w:t>
      </w:r>
      <w:r>
        <w:rPr>
          <w:rFonts w:hint="eastAsia" w:ascii="仿宋_GB2312" w:hAnsi="仿宋_GB2312" w:eastAsia="仿宋_GB2312" w:cs="仿宋_GB2312"/>
          <w:sz w:val="24"/>
          <w:szCs w:val="24"/>
        </w:rPr>
        <w:t>后，</w:t>
      </w:r>
      <w:r>
        <w:rPr>
          <w:rFonts w:ascii="仿宋_GB2312" w:hAnsi="仿宋_GB2312" w:eastAsia="仿宋_GB2312" w:cs="仿宋_GB2312"/>
          <w:sz w:val="24"/>
          <w:szCs w:val="24"/>
        </w:rPr>
        <w:t>达到付款条件起 30 日内，支付合同总金额的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10</w:t>
      </w:r>
      <w:r>
        <w:rPr>
          <w:rFonts w:ascii="仿宋_GB2312" w:hAnsi="仿宋_GB2312" w:eastAsia="仿宋_GB2312" w:cs="仿宋_GB2312"/>
          <w:sz w:val="24"/>
          <w:szCs w:val="24"/>
        </w:rPr>
        <w:t>0.00%。</w:t>
      </w:r>
    </w:p>
    <w:p w14:paraId="70644E3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szCs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szCs w:val="24"/>
          <w:lang w:bidi="zh-TW"/>
        </w:rPr>
        <w:t>二</w:t>
      </w:r>
      <w:r>
        <w:rPr>
          <w:rFonts w:hint="eastAsia" w:ascii="仿宋" w:hAnsi="仿宋" w:eastAsia="仿宋" w:cs="仿宋"/>
          <w:sz w:val="24"/>
          <w:szCs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szCs w:val="24"/>
          <w:lang w:bidi="zh-TW"/>
        </w:rPr>
        <w:t>支付</w:t>
      </w:r>
      <w:r>
        <w:rPr>
          <w:rFonts w:hint="eastAsia" w:ascii="仿宋" w:hAnsi="仿宋" w:eastAsia="仿宋" w:cs="仿宋"/>
          <w:sz w:val="24"/>
          <w:szCs w:val="24"/>
          <w:lang w:val="zh-TW" w:eastAsia="zh-TW" w:bidi="zh-TW"/>
        </w:rPr>
        <w:t>方式：银行转账。</w:t>
      </w:r>
    </w:p>
    <w:p w14:paraId="56406B5F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szCs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szCs w:val="24"/>
          <w:lang w:bidi="zh-TW"/>
        </w:rPr>
        <w:t>三</w:t>
      </w:r>
      <w:r>
        <w:rPr>
          <w:rFonts w:hint="eastAsia" w:ascii="仿宋" w:hAnsi="仿宋" w:eastAsia="仿宋" w:cs="仿宋"/>
          <w:sz w:val="24"/>
          <w:szCs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szCs w:val="24"/>
          <w:lang w:bidi="zh-TW"/>
        </w:rPr>
        <w:t>结算方式：付款前乙方应向甲</w:t>
      </w:r>
      <w:r>
        <w:rPr>
          <w:rFonts w:hint="eastAsia" w:ascii="仿宋" w:hAnsi="仿宋" w:eastAsia="仿宋" w:cs="仿宋"/>
          <w:sz w:val="24"/>
          <w:lang w:bidi="zh-TW"/>
        </w:rPr>
        <w:t>方提供合法有效的发票。乙方持成交通知书、服务合同、发票，与甲方结算。</w:t>
      </w:r>
    </w:p>
    <w:p w14:paraId="25480532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五、双方的权利和义务</w:t>
      </w:r>
    </w:p>
    <w:p w14:paraId="71BF8B79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一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甲方的权利和义务</w:t>
      </w:r>
    </w:p>
    <w:p w14:paraId="31728962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1、甲方有权对合同规定范围内乙方的服务行为进行监督和检查，拥有监管权。有权定期核对乙方提供服务所配备的人员数量。对甲方认为不合理的部分有权下达整改通知书，并要求乙方限期整改。</w:t>
      </w:r>
    </w:p>
    <w:p w14:paraId="6C712C5B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2、负责检查监督乙方管理工作的实施及制度的执行情况。</w:t>
      </w:r>
    </w:p>
    <w:p w14:paraId="071A1EE8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3、根据本合同规定，按时向乙方支付应付服务费用。</w:t>
      </w:r>
    </w:p>
    <w:p w14:paraId="2D57EEE6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4、国家法律、法规所规定由甲方承担的其它责任。</w:t>
      </w:r>
    </w:p>
    <w:p w14:paraId="5149745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（二）乙方的权利和义务</w:t>
      </w:r>
    </w:p>
    <w:p w14:paraId="78B7BE5B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1、对本合同规定的委托服务范围内的项目享有管理权及服务义务。</w:t>
      </w:r>
    </w:p>
    <w:p w14:paraId="5CAFD3A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2、根据本合同的规定向甲方收取相关服务费用，并有权在本项目管理范围内管理及合理使用。</w:t>
      </w:r>
    </w:p>
    <w:p w14:paraId="206DB958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3、及时向甲方通告本项目服务范围内有关服务的重大事项，及时配合处理投诉。</w:t>
      </w:r>
    </w:p>
    <w:p w14:paraId="7D02AE7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4、在服务过程中接受项目行业管理部门及政府有关部门的指导，接受甲方的监督。</w:t>
      </w:r>
    </w:p>
    <w:p w14:paraId="47E6678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5、国家法律、法规所规定由乙方承担的其它责任。</w:t>
      </w:r>
    </w:p>
    <w:p w14:paraId="0A222D8A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6、乙方应按国家技术规范、标准、规程和甲方的需求展开工作。</w:t>
      </w:r>
    </w:p>
    <w:p w14:paraId="7493C5C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7、乙方在进行服务过程中，需遵守甲方的规章制度，接受甲方的安排与协调。</w:t>
      </w:r>
    </w:p>
    <w:p w14:paraId="4598442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8、如因乙方原因导致服务工作无法开展，乙方应承担相应的责任，并采取积极的补救措施。</w:t>
      </w:r>
    </w:p>
    <w:p w14:paraId="64F59E3D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9、在服务工作开展过程中，如出现意外事故，由乙方自行承担。</w:t>
      </w:r>
    </w:p>
    <w:p w14:paraId="4DE000DF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六、质量保证</w:t>
      </w:r>
    </w:p>
    <w:p w14:paraId="167D7EB5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乙方所供服务必须执行下列条款：</w:t>
      </w:r>
    </w:p>
    <w:p w14:paraId="37DE29EA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（一）服务方案和方式科学、可行，人员配置合理，全面满足要求。</w:t>
      </w:r>
    </w:p>
    <w:p w14:paraId="68FB350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（二）符合国家有关服务规范要求，确保各项服务达到最佳运行效果。</w:t>
      </w:r>
    </w:p>
    <w:p w14:paraId="6680AA36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（三）乙方提供的服务，若发生侵权而产生的一切后果，由乙方负责。甲方保留索赔权。</w:t>
      </w:r>
    </w:p>
    <w:p w14:paraId="6BBF0F2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（四）服务承诺内容：以响应文件承诺为准。</w:t>
      </w:r>
    </w:p>
    <w:p w14:paraId="0D350934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七、验收</w:t>
      </w:r>
    </w:p>
    <w:p w14:paraId="6746A15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（一）服务内容完成后先由乙方进行自检，自检合格后邀请甲方进行验收。甲方确认乙方的自检内容后，组织乙方进行最终验收，验收时乙方应派人员参加，共同对验收结果进行确认，并承担相关责任。</w:t>
      </w:r>
    </w:p>
    <w:p w14:paraId="5D91F7CB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 xml:space="preserve">（二）乙方向甲方提交服务实施过程中的所有资料。以便甲方日后管理。 </w:t>
      </w:r>
    </w:p>
    <w:p w14:paraId="0CAD52E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（三）验收依据：</w:t>
      </w:r>
    </w:p>
    <w:p w14:paraId="6619594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1、竞争性磋商文件、响应文件、澄清表（函）；</w:t>
      </w:r>
    </w:p>
    <w:p w14:paraId="7202512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 xml:space="preserve">2、本合同及附件文本； </w:t>
      </w:r>
    </w:p>
    <w:p w14:paraId="37C3CEDB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3、国家相应的标准、规范。</w:t>
      </w:r>
    </w:p>
    <w:p w14:paraId="77A152BB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八</w:t>
      </w: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、违约责任</w:t>
      </w:r>
    </w:p>
    <w:p w14:paraId="3B3E0969">
      <w:pPr>
        <w:tabs>
          <w:tab w:val="left" w:pos="1438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（一）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合同中未约定的，按《民法典》中的相关条款执行。</w:t>
      </w:r>
      <w:bookmarkStart w:id="4" w:name="bookmark15"/>
    </w:p>
    <w:bookmarkEnd w:id="4"/>
    <w:p w14:paraId="1DC6C1BE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eastAsia="zh-CN" w:bidi="zh-TW"/>
        </w:rPr>
        <w:t>（</w:t>
      </w:r>
      <w:r>
        <w:rPr>
          <w:rFonts w:hint="eastAsia" w:ascii="仿宋" w:hAnsi="仿宋" w:eastAsia="仿宋" w:cs="仿宋"/>
          <w:sz w:val="24"/>
          <w:lang w:val="en-US" w:eastAsia="zh-CN" w:bidi="zh-TW"/>
        </w:rPr>
        <w:t>二</w:t>
      </w:r>
      <w:r>
        <w:rPr>
          <w:rFonts w:hint="eastAsia" w:ascii="仿宋" w:hAnsi="仿宋" w:eastAsia="仿宋" w:cs="仿宋"/>
          <w:sz w:val="24"/>
          <w:lang w:eastAsia="zh-CN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本合同履行过程中，如乙方违约，乙方应按甲方要求采取改正措施，并承担相应责任，甲方有索赔相关费用的权利；如乙方严重违约致使合同目的无法实现的，甲方有权解除、终止合同，乙方应赔偿甲方相应损失。</w:t>
      </w:r>
    </w:p>
    <w:p w14:paraId="790F16C5">
      <w:pPr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九、保密</w:t>
      </w: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条款</w:t>
      </w:r>
    </w:p>
    <w:p w14:paraId="6C66355B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一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乙方应遵守国家有关保密的法律法规和行业规定，并对甲方</w:t>
      </w:r>
      <w:r>
        <w:rPr>
          <w:rFonts w:hint="eastAsia" w:ascii="仿宋" w:hAnsi="仿宋" w:eastAsia="仿宋" w:cs="仿宋"/>
          <w:sz w:val="24"/>
          <w:lang w:bidi="zh-TW"/>
        </w:rPr>
        <w:t>提供的资料负有保密义务。未经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甲方同意，不得将承接政府服务项目获得的</w:t>
      </w:r>
      <w:r>
        <w:rPr>
          <w:rFonts w:hint="eastAsia" w:ascii="仿宋" w:hAnsi="仿宋" w:eastAsia="仿宋" w:cs="仿宋"/>
          <w:sz w:val="24"/>
          <w:lang w:bidi="zh-TW"/>
        </w:rPr>
        <w:t>政府、公民个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人等各种信息和资料提供给其他单位和个人。如发生以上</w:t>
      </w:r>
      <w:r>
        <w:rPr>
          <w:rFonts w:hint="eastAsia" w:ascii="仿宋" w:hAnsi="仿宋" w:eastAsia="仿宋" w:cs="仿宋"/>
          <w:sz w:val="24"/>
          <w:lang w:bidi="zh-TW"/>
        </w:rPr>
        <w:t>情况，甲方有权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索赔。</w:t>
      </w:r>
    </w:p>
    <w:p w14:paraId="186EE243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二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甲方有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义务保护乙方的知识产权，未经乙方同意，不得将乙方</w:t>
      </w:r>
      <w:r>
        <w:rPr>
          <w:rFonts w:hint="eastAsia" w:ascii="仿宋" w:hAnsi="仿宋" w:eastAsia="仿宋" w:cs="仿宋"/>
          <w:sz w:val="24"/>
          <w:lang w:bidi="zh-TW"/>
        </w:rPr>
        <w:t>交付的具有知识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产权性质的成果文件、资料向第三方转让或用于本合同以</w:t>
      </w:r>
      <w:r>
        <w:rPr>
          <w:rFonts w:hint="eastAsia" w:ascii="仿宋" w:hAnsi="仿宋" w:eastAsia="仿宋" w:cs="仿宋"/>
          <w:sz w:val="24"/>
          <w:lang w:bidi="zh-TW"/>
        </w:rPr>
        <w:t>外的项目。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如发生以上情况，乙方有权索赔，但甲方依据相关法定职责对</w:t>
      </w:r>
      <w:r>
        <w:rPr>
          <w:rFonts w:hint="eastAsia" w:ascii="仿宋" w:hAnsi="仿宋" w:eastAsia="仿宋" w:cs="仿宋"/>
          <w:sz w:val="24"/>
          <w:lang w:bidi="zh-TW"/>
        </w:rPr>
        <w:t>外公开的除外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。</w:t>
      </w:r>
    </w:p>
    <w:p w14:paraId="77E49A81">
      <w:pPr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三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本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条款为独立条款，本合同的无效、变更、解除和终止均不</w:t>
      </w:r>
      <w:r>
        <w:rPr>
          <w:rFonts w:hint="eastAsia" w:ascii="仿宋" w:hAnsi="仿宋" w:eastAsia="仿宋" w:cs="仿宋"/>
          <w:sz w:val="24"/>
          <w:lang w:bidi="zh-TW"/>
        </w:rPr>
        <w:t>影响本条款的效力。</w:t>
      </w:r>
    </w:p>
    <w:p w14:paraId="5E7E6A35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十、争议解决</w:t>
      </w:r>
    </w:p>
    <w:p w14:paraId="4B835292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一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本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合同在履行过程中发生的争议，由甲、乙双方当事人协商</w:t>
      </w:r>
      <w:r>
        <w:rPr>
          <w:rFonts w:hint="eastAsia" w:ascii="仿宋" w:hAnsi="仿宋" w:eastAsia="仿宋" w:cs="仿宋"/>
          <w:sz w:val="24"/>
          <w:lang w:bidi="zh-TW"/>
        </w:rPr>
        <w:t>解决，协商不成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的按下列第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2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种方式解决：</w:t>
      </w:r>
    </w:p>
    <w:p w14:paraId="6CE16FA9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1、提交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西安仲裁委员会仲裁；</w:t>
      </w:r>
    </w:p>
    <w:p w14:paraId="57A4F1B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2、依法向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甲方所在地人民法院起诉。</w:t>
      </w:r>
    </w:p>
    <w:p w14:paraId="2D24360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二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本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条款为独立条款，本合同的无效、变更、解除和终止均不</w:t>
      </w:r>
      <w:r>
        <w:rPr>
          <w:rFonts w:hint="eastAsia" w:ascii="仿宋" w:hAnsi="仿宋" w:eastAsia="仿宋" w:cs="仿宋"/>
          <w:sz w:val="24"/>
          <w:lang w:bidi="zh-TW"/>
        </w:rPr>
        <w:t>影响本条款的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效力。</w:t>
      </w:r>
    </w:p>
    <w:p w14:paraId="2A6E3749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十</w:t>
      </w:r>
      <w:r>
        <w:rPr>
          <w:rFonts w:hint="eastAsia" w:ascii="仿宋" w:hAnsi="仿宋" w:eastAsia="仿宋" w:cs="仿宋"/>
          <w:b/>
          <w:bCs/>
          <w:sz w:val="24"/>
          <w:lang w:bidi="zh-TW"/>
        </w:rPr>
        <w:t>一</w:t>
      </w: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、合同变更</w:t>
      </w:r>
    </w:p>
    <w:p w14:paraId="1A0B0B82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在合同的执行期内，双方均不得随意变更或解除合同。如因项目</w:t>
      </w:r>
      <w:r>
        <w:rPr>
          <w:rFonts w:hint="eastAsia" w:ascii="仿宋" w:hAnsi="仿宋" w:eastAsia="仿宋" w:cs="仿宋"/>
          <w:sz w:val="24"/>
          <w:lang w:bidi="zh-TW"/>
        </w:rPr>
        <w:t>需求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情况发生变化，需要项目变更的，应双方协商后签订项目变更协议</w:t>
      </w:r>
      <w:r>
        <w:rPr>
          <w:rFonts w:hint="eastAsia" w:ascii="仿宋" w:hAnsi="仿宋" w:eastAsia="仿宋" w:cs="仿宋"/>
          <w:sz w:val="24"/>
          <w:lang w:bidi="zh-TW"/>
        </w:rPr>
        <w:t>后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生效（如双方变更事项不能达成一致的，仍按原合同履</w:t>
      </w:r>
      <w:r>
        <w:rPr>
          <w:rFonts w:hint="eastAsia" w:ascii="仿宋" w:hAnsi="仿宋" w:eastAsia="仿宋" w:cs="仿宋"/>
          <w:sz w:val="24"/>
          <w:lang w:bidi="zh-TW"/>
        </w:rPr>
        <w:t>行，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否则视为违约）。</w:t>
      </w:r>
    </w:p>
    <w:p w14:paraId="162533E9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十</w:t>
      </w:r>
      <w:r>
        <w:rPr>
          <w:rFonts w:hint="eastAsia" w:ascii="仿宋" w:hAnsi="仿宋" w:eastAsia="仿宋" w:cs="仿宋"/>
          <w:b/>
          <w:bCs/>
          <w:sz w:val="24"/>
          <w:lang w:bidi="zh-TW"/>
        </w:rPr>
        <w:t>二</w:t>
      </w: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、合同生效</w:t>
      </w:r>
    </w:p>
    <w:p w14:paraId="6BA3419F">
      <w:pPr>
        <w:spacing w:after="100"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本合同一式</w:t>
      </w:r>
      <w:r>
        <w:rPr>
          <w:rFonts w:hint="eastAsia" w:ascii="仿宋" w:hAnsi="仿宋" w:eastAsia="仿宋" w:cs="仿宋"/>
          <w:sz w:val="24"/>
          <w:u w:val="single"/>
          <w:lang w:val="en-US" w:eastAsia="zh-CN" w:bidi="zh-TW"/>
        </w:rPr>
        <w:t xml:space="preserve"> 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份,甲方持</w:t>
      </w:r>
      <w:r>
        <w:rPr>
          <w:rFonts w:hint="eastAsia" w:ascii="仿宋" w:hAnsi="仿宋" w:eastAsia="仿宋" w:cs="仿宋"/>
          <w:sz w:val="24"/>
          <w:u w:val="single"/>
          <w:lang w:val="en-US" w:eastAsia="zh-CN" w:bidi="zh-TW"/>
        </w:rPr>
        <w:t xml:space="preserve"> 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份，乙方持</w:t>
      </w:r>
      <w:r>
        <w:rPr>
          <w:rFonts w:hint="eastAsia" w:ascii="仿宋" w:hAnsi="仿宋" w:eastAsia="仿宋" w:cs="仿宋"/>
          <w:sz w:val="24"/>
          <w:u w:val="single"/>
          <w:lang w:val="en-US" w:eastAsia="zh-CN" w:bidi="zh-TW"/>
        </w:rPr>
        <w:t xml:space="preserve"> 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份,本合同甲、乙</w:t>
      </w:r>
      <w:r>
        <w:rPr>
          <w:rFonts w:hint="eastAsia" w:ascii="仿宋" w:hAnsi="仿宋" w:eastAsia="仿宋" w:cs="仿宋"/>
          <w:sz w:val="24"/>
          <w:lang w:val="en-US" w:eastAsia="zh-CN" w:bidi="zh-TW"/>
        </w:rPr>
        <w:t>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方签字并盖章后生效，</w:t>
      </w:r>
      <w:r>
        <w:rPr>
          <w:rFonts w:hint="eastAsia" w:ascii="仿宋" w:hAnsi="仿宋" w:eastAsia="仿宋" w:cs="仿宋"/>
          <w:sz w:val="24"/>
          <w:lang w:bidi="zh-TW"/>
        </w:rPr>
        <w:t>合同执行完毕后，自动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失效（合同的服务承诺则长期有效）。</w:t>
      </w:r>
    </w:p>
    <w:p w14:paraId="02D51DBF">
      <w:pPr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sz w:val="24"/>
          <w:lang w:bidi="en-US"/>
        </w:rPr>
      </w:pPr>
      <w:r>
        <w:rPr>
          <w:rFonts w:hint="eastAsia" w:ascii="仿宋" w:hAnsi="仿宋" w:eastAsia="仿宋" w:cs="仿宋"/>
          <w:b/>
          <w:bCs/>
          <w:sz w:val="24"/>
          <w:lang w:bidi="en-US"/>
        </w:rPr>
        <w:t>十三、其他事项</w:t>
      </w:r>
    </w:p>
    <w:p w14:paraId="4724F13D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（一）</w:t>
      </w:r>
      <w:r>
        <w:rPr>
          <w:rFonts w:hint="eastAsia" w:ascii="仿宋" w:hAnsi="仿宋" w:eastAsia="仿宋" w:cs="仿宋"/>
          <w:sz w:val="24"/>
          <w:szCs w:val="24"/>
        </w:rPr>
        <w:t>西安国家民用航天产业基地财政金融局</w:t>
      </w:r>
      <w:r>
        <w:rPr>
          <w:rFonts w:hint="eastAsia" w:ascii="仿宋" w:hAnsi="仿宋" w:eastAsia="仿宋" w:cs="仿宋"/>
          <w:sz w:val="24"/>
          <w:lang w:bidi="zh-TW"/>
        </w:rPr>
        <w:t>在合同的履行期间以及履行期后，可以随时检查项目的执行情况，对采购标准、釆购内容进行调查核实，并对发现的问题进行处理。</w:t>
      </w:r>
    </w:p>
    <w:p w14:paraId="690F8F48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二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竞争性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磋商文件、响应文件、澄清表（函）、成交通知书、合同</w:t>
      </w:r>
      <w:r>
        <w:rPr>
          <w:rFonts w:hint="eastAsia" w:ascii="仿宋" w:hAnsi="仿宋" w:eastAsia="仿宋" w:cs="仿宋"/>
          <w:sz w:val="24"/>
          <w:lang w:bidi="zh-TW"/>
        </w:rPr>
        <w:t>附件均为合同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不可分割的部分。</w:t>
      </w:r>
    </w:p>
    <w:p w14:paraId="1C2EF1A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三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甲乙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双方因不可抗力导致本合同全部或部分不能履行时，发生</w:t>
      </w:r>
      <w:r>
        <w:rPr>
          <w:rFonts w:hint="eastAsia" w:ascii="仿宋" w:hAnsi="仿宋" w:eastAsia="仿宋" w:cs="仿宋"/>
          <w:sz w:val="24"/>
          <w:lang w:bidi="zh-TW"/>
        </w:rPr>
        <w:t>不可抗力的一方应当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在不可抗力发生后天内书面通知对方，以减轻</w:t>
      </w:r>
      <w:r>
        <w:rPr>
          <w:rFonts w:hint="eastAsia" w:ascii="仿宋" w:hAnsi="仿宋" w:eastAsia="仿宋" w:cs="仿宋"/>
          <w:sz w:val="24"/>
          <w:lang w:bidi="zh-TW"/>
        </w:rPr>
        <w:t>可能给对方造成的损失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。因不可抗力导致本合同全部或部分不能履行时，</w:t>
      </w:r>
      <w:r>
        <w:rPr>
          <w:rFonts w:hint="eastAsia" w:ascii="仿宋" w:hAnsi="仿宋" w:eastAsia="仿宋" w:cs="仿宋"/>
          <w:sz w:val="24"/>
          <w:lang w:bidi="zh-TW"/>
        </w:rPr>
        <w:t>双方各自承担其因此而造成的损失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、损害。</w:t>
      </w:r>
    </w:p>
    <w:p w14:paraId="4B2F78FD">
      <w:pPr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lang w:val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四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合同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未尽事宜，由甲、乙双方协商确认后签订政府</w:t>
      </w:r>
      <w:r>
        <w:rPr>
          <w:rFonts w:hint="eastAsia" w:ascii="仿宋" w:hAnsi="仿宋" w:eastAsia="仿宋" w:cs="仿宋"/>
          <w:sz w:val="24"/>
          <w:lang w:bidi="zh-TW"/>
        </w:rPr>
        <w:t>采购补充合同，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与原合同具有同等法律效力。</w:t>
      </w:r>
    </w:p>
    <w:tbl>
      <w:tblPr>
        <w:tblStyle w:val="2"/>
        <w:tblpPr w:leftFromText="181" w:rightFromText="181" w:vertAnchor="text" w:horzAnchor="margin" w:tblpXSpec="center" w:tblpY="24"/>
        <w:tblOverlap w:val="never"/>
        <w:tblW w:w="513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3"/>
        <w:gridCol w:w="4276"/>
      </w:tblGrid>
      <w:tr w14:paraId="2817F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2559" w:type="pct"/>
          </w:tcPr>
          <w:p w14:paraId="19FE737C">
            <w:pPr>
              <w:overflowPunct w:val="0"/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甲  方</w:t>
            </w:r>
          </w:p>
        </w:tc>
        <w:tc>
          <w:tcPr>
            <w:tcW w:w="2440" w:type="pct"/>
          </w:tcPr>
          <w:p w14:paraId="722583E3">
            <w:pPr>
              <w:overflowPunct w:val="0"/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乙  方</w:t>
            </w:r>
          </w:p>
        </w:tc>
      </w:tr>
      <w:tr w14:paraId="23FBA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2559" w:type="pct"/>
            <w:vAlign w:val="center"/>
          </w:tcPr>
          <w:p w14:paraId="0E291FF9">
            <w:pPr>
              <w:overflowPunct w:val="0"/>
              <w:topLinePunct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采购人全称</w:t>
            </w:r>
          </w:p>
          <w:p w14:paraId="54382780">
            <w:pPr>
              <w:overflowPunct w:val="0"/>
              <w:topLinePunct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（公章）</w:t>
            </w:r>
          </w:p>
        </w:tc>
        <w:tc>
          <w:tcPr>
            <w:tcW w:w="2440" w:type="pct"/>
            <w:vAlign w:val="center"/>
          </w:tcPr>
          <w:p w14:paraId="7127F247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成交供应商全称</w:t>
            </w:r>
          </w:p>
          <w:p w14:paraId="3D707EDC">
            <w:pPr>
              <w:overflowPunct w:val="0"/>
              <w:topLinePunct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（公章）</w:t>
            </w:r>
          </w:p>
        </w:tc>
      </w:tr>
      <w:tr w14:paraId="32845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2559" w:type="pct"/>
          </w:tcPr>
          <w:p w14:paraId="0C758F97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地址： </w:t>
            </w:r>
          </w:p>
        </w:tc>
        <w:tc>
          <w:tcPr>
            <w:tcW w:w="2440" w:type="pct"/>
          </w:tcPr>
          <w:p w14:paraId="7A49BE70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地址：</w:t>
            </w:r>
          </w:p>
        </w:tc>
      </w:tr>
      <w:tr w14:paraId="1901F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2559" w:type="pct"/>
          </w:tcPr>
          <w:p w14:paraId="6B965A2C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邮编：</w:t>
            </w:r>
          </w:p>
        </w:tc>
        <w:tc>
          <w:tcPr>
            <w:tcW w:w="2440" w:type="pct"/>
          </w:tcPr>
          <w:p w14:paraId="253C2904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邮编：</w:t>
            </w:r>
          </w:p>
        </w:tc>
      </w:tr>
      <w:tr w14:paraId="70D67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2559" w:type="pct"/>
          </w:tcPr>
          <w:p w14:paraId="4FFCE38F">
            <w:pPr>
              <w:overflowPunct w:val="0"/>
              <w:topLinePunct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法定代表人或被授权人（签字或盖章）： </w:t>
            </w:r>
          </w:p>
        </w:tc>
        <w:tc>
          <w:tcPr>
            <w:tcW w:w="2440" w:type="pct"/>
          </w:tcPr>
          <w:p w14:paraId="244BA363">
            <w:pPr>
              <w:overflowPunct w:val="0"/>
              <w:topLinePunct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法定代表人或被授权人（签字或盖章）：</w:t>
            </w:r>
          </w:p>
        </w:tc>
      </w:tr>
      <w:tr w14:paraId="0A19E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2559" w:type="pct"/>
          </w:tcPr>
          <w:p w14:paraId="769D2B64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电话：</w:t>
            </w:r>
          </w:p>
        </w:tc>
        <w:tc>
          <w:tcPr>
            <w:tcW w:w="2440" w:type="pct"/>
          </w:tcPr>
          <w:p w14:paraId="1E3E6981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电话：</w:t>
            </w:r>
          </w:p>
        </w:tc>
      </w:tr>
      <w:tr w14:paraId="331B9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2559" w:type="pct"/>
          </w:tcPr>
          <w:p w14:paraId="330C553C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传真：</w:t>
            </w:r>
          </w:p>
        </w:tc>
        <w:tc>
          <w:tcPr>
            <w:tcW w:w="2440" w:type="pct"/>
          </w:tcPr>
          <w:p w14:paraId="0716A386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传真：</w:t>
            </w:r>
          </w:p>
        </w:tc>
      </w:tr>
      <w:tr w14:paraId="17699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2559" w:type="pct"/>
          </w:tcPr>
          <w:p w14:paraId="181A4844">
            <w:pPr>
              <w:overflowPunct w:val="0"/>
              <w:topLinePunct/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开户银行：</w:t>
            </w:r>
          </w:p>
        </w:tc>
        <w:tc>
          <w:tcPr>
            <w:tcW w:w="2440" w:type="pct"/>
          </w:tcPr>
          <w:p w14:paraId="1763D159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开户银行：</w:t>
            </w:r>
          </w:p>
        </w:tc>
      </w:tr>
      <w:tr w14:paraId="7F97A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2559" w:type="pct"/>
          </w:tcPr>
          <w:p w14:paraId="3215F2AF">
            <w:pPr>
              <w:overflowPunct w:val="0"/>
              <w:topLinePunct/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账号：</w:t>
            </w:r>
          </w:p>
        </w:tc>
        <w:tc>
          <w:tcPr>
            <w:tcW w:w="2440" w:type="pct"/>
          </w:tcPr>
          <w:p w14:paraId="4CB78D0A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账号：</w:t>
            </w:r>
          </w:p>
        </w:tc>
      </w:tr>
      <w:tr w14:paraId="63934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5000" w:type="pct"/>
            <w:gridSpan w:val="2"/>
          </w:tcPr>
          <w:p w14:paraId="0D681355">
            <w:pPr>
              <w:overflowPunct w:val="0"/>
              <w:topLinePunct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年  月  日</w:t>
            </w:r>
          </w:p>
        </w:tc>
      </w:tr>
    </w:tbl>
    <w:p w14:paraId="27CFDD5B">
      <w:pPr>
        <w:pStyle w:val="4"/>
        <w:spacing w:line="360" w:lineRule="auto"/>
        <w:jc w:val="left"/>
        <w:rPr>
          <w:rFonts w:hint="eastAsia" w:ascii="仿宋" w:hAnsi="仿宋" w:eastAsia="仿宋" w:cs="仿宋"/>
          <w:lang w:val="en-US" w:eastAsia="zh-Hans"/>
        </w:rPr>
      </w:pPr>
    </w:p>
    <w:p w14:paraId="3CE9722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F72413"/>
    <w:rsid w:val="11D00824"/>
    <w:rsid w:val="1CB87339"/>
    <w:rsid w:val="25FD5DBC"/>
    <w:rsid w:val="30BD6A03"/>
    <w:rsid w:val="36BC40FA"/>
    <w:rsid w:val="44F72413"/>
    <w:rsid w:val="66805D9E"/>
    <w:rsid w:val="6848469A"/>
    <w:rsid w:val="6DB70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2616</Words>
  <Characters>2670</Characters>
  <Lines>0</Lines>
  <Paragraphs>0</Paragraphs>
  <TotalTime>0</TotalTime>
  <ScaleCrop>false</ScaleCrop>
  <LinksUpToDate>false</LinksUpToDate>
  <CharactersWithSpaces>2848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2026-04-20T05:35:00Z</dcterms:created>
  <dc:creator>四方衡裕</dc:creator>
  <cp:lastModifiedBy>四方衡裕</cp:lastModifiedBy>
  <dcterms:modified xsi:type="dcterms:W3CDTF">2026-04-20T05:44:10Z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8F41E4710BC54E109E73E0A9866366EF_11</vt:lpwstr>
  </property>
  <property fmtid="{D5CDD505-2E9C-101B-9397-08002B2CF9AE}" pid="4" name="KSOTemplateDocerSaveRecord">
    <vt:lpwstr>eyJoZGlkIjoiYTRhNTRmZWJhMTZhMGI4NTIwNzY3MmY4OGE4OTA2NmYiLCJ1c2VySWQiOiIxNjgwMDIxMjIyIn0=</vt:lpwstr>
  </property>
</Properties>
</file>