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2024年书博（含博）区域事务委托管理服务</w:t>
      </w:r>
    </w:p>
    <w:p>
      <w:pPr>
        <w:pStyle w:val="null3"/>
        <w:jc w:val="center"/>
        <w:outlineLvl w:val="2"/>
      </w:pPr>
      <w:r>
        <w:rPr>
          <w:b/>
          <w:sz w:val="28"/>
        </w:rPr>
        <w:t>采购项目编号：</w:t>
      </w:r>
      <w:r>
        <w:rPr>
          <w:b/>
          <w:sz w:val="28"/>
        </w:rPr>
        <w:t>正衡招字-[2024]-170号</w:t>
      </w:r>
      <w:r>
        <w:br/>
      </w:r>
      <w:r>
        <w:br/>
      </w:r>
      <w:r>
        <w:br/>
      </w:r>
    </w:p>
    <w:p>
      <w:pPr>
        <w:pStyle w:val="null3"/>
        <w:jc w:val="center"/>
        <w:outlineLvl w:val="2"/>
      </w:pPr>
      <w:r>
        <w:rPr>
          <w:b/>
          <w:sz w:val="28"/>
        </w:rPr>
        <w:t>西安中国书法艺术博物馆</w:t>
      </w:r>
    </w:p>
    <w:p>
      <w:pPr>
        <w:pStyle w:val="null3"/>
        <w:jc w:val="center"/>
        <w:outlineLvl w:val="2"/>
      </w:pPr>
      <w:r>
        <w:rPr>
          <w:b/>
          <w:sz w:val="28"/>
        </w:rPr>
        <w:t>正衡工程项目管理有限公司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竞争性磋商邀请</w:t>
      </w:r>
    </w:p>
    <w:p>
      <w:pPr>
        <w:pStyle w:val="null3"/>
        <w:ind w:firstLine="480"/>
      </w:pPr>
      <w:r>
        <w:rPr/>
        <w:t>正衡工程项目管理有限公司</w:t>
      </w:r>
      <w:r>
        <w:rPr/>
        <w:t>（以下简称“代理机构”）受</w:t>
      </w:r>
      <w:r>
        <w:rPr/>
        <w:t>西安中国书法艺术博物馆</w:t>
      </w:r>
      <w:r>
        <w:rPr/>
        <w:t>委托，拟对</w:t>
      </w:r>
      <w:r>
        <w:rPr/>
        <w:t>2024年书博（含博）区域事务委托管理服务</w:t>
      </w:r>
      <w:r>
        <w:rPr/>
        <w:t>采用竞争性磋商采购方式进行采购，兹邀请供应商参加本项目的竞争性磋商。</w:t>
      </w:r>
    </w:p>
    <w:p>
      <w:pPr>
        <w:pStyle w:val="null3"/>
        <w:outlineLvl w:val="2"/>
      </w:pPr>
      <w:r>
        <w:rPr>
          <w:b/>
          <w:sz w:val="28"/>
        </w:rPr>
        <w:t>一、项目编号：</w:t>
      </w:r>
      <w:r>
        <w:rPr>
          <w:b/>
          <w:sz w:val="28"/>
        </w:rPr>
        <w:t>正衡招字-[2024]-170号</w:t>
      </w:r>
    </w:p>
    <w:p>
      <w:pPr>
        <w:pStyle w:val="null3"/>
        <w:outlineLvl w:val="2"/>
      </w:pPr>
      <w:r>
        <w:rPr>
          <w:b/>
          <w:sz w:val="28"/>
        </w:rPr>
        <w:t>二、项目名称：</w:t>
      </w:r>
      <w:r>
        <w:rPr>
          <w:b/>
          <w:sz w:val="28"/>
        </w:rPr>
        <w:t>2024年书博（含博）区域事务委托管理服务</w:t>
      </w:r>
    </w:p>
    <w:p>
      <w:pPr>
        <w:pStyle w:val="null3"/>
        <w:outlineLvl w:val="2"/>
      </w:pPr>
      <w:r>
        <w:rPr>
          <w:b/>
          <w:sz w:val="28"/>
        </w:rPr>
        <w:t>三、磋商项目简介</w:t>
      </w:r>
    </w:p>
    <w:p>
      <w:pPr>
        <w:pStyle w:val="null3"/>
        <w:ind w:firstLine="480"/>
      </w:pPr>
      <w:r>
        <w:rPr/>
        <w:t>2024年书博（含博）区域事务委托管理服务，预算金额：1975500.00元。</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采购包1（2024年书博（含博）区域事务委托管理服务）：属于专门面向中小企业采购。</w:t>
      </w:r>
    </w:p>
    <w:p>
      <w:pPr>
        <w:pStyle w:val="null3"/>
        <w:ind w:firstLine="480"/>
      </w:pPr>
      <w:r>
        <w:rPr/>
        <w:t>（三）本项目的特定资格要求：</w:t>
      </w:r>
    </w:p>
    <w:p>
      <w:pPr>
        <w:pStyle w:val="null3"/>
      </w:pPr>
      <w:r>
        <w:rPr/>
        <w:t>采购包1：</w:t>
      </w:r>
    </w:p>
    <w:p>
      <w:pPr>
        <w:pStyle w:val="null3"/>
      </w:pPr>
      <w:r>
        <w:rPr/>
        <w:t>1、法定代表人直接参加磋商的，须出具法定代表人身份证明，法定代表人授权代表参加磋商的，须出具法定代表人授权书；：法定代表人直接参加磋商的，须出具法定代表人身份证明，法定代表人授权代表参加磋商的，须出具法定代表人授权书。</w:t>
      </w:r>
    </w:p>
    <w:p>
      <w:pPr>
        <w:pStyle w:val="null3"/>
      </w:pPr>
      <w:r>
        <w:rPr/>
        <w:t>2、符合《财政部关于在政府采购活动中查询及使用信用记录有关问题的通知》（财库【2016】125号）文件中信用查询的要求：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pPr>
      <w:r>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t>4、不接受联合体磋商：不接受联合体磋商</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西安中国书法艺术博物馆</w:t>
      </w:r>
    </w:p>
    <w:p>
      <w:pPr>
        <w:pStyle w:val="null3"/>
      </w:pPr>
      <w:r>
        <w:rPr/>
        <w:t xml:space="preserve"> 地址： </w:t>
      </w:r>
      <w:r>
        <w:rPr/>
        <w:t>西安市莲湖区含光门内广场</w:t>
      </w:r>
    </w:p>
    <w:p>
      <w:pPr>
        <w:pStyle w:val="null3"/>
      </w:pPr>
      <w:r>
        <w:rPr/>
        <w:t xml:space="preserve"> 邮编： </w:t>
      </w:r>
      <w:r>
        <w:rPr/>
        <w:t>/</w:t>
      </w:r>
    </w:p>
    <w:p>
      <w:pPr>
        <w:pStyle w:val="null3"/>
      </w:pPr>
      <w:r>
        <w:rPr/>
        <w:t xml:space="preserve"> 联系人： </w:t>
      </w:r>
      <w:r>
        <w:rPr/>
        <w:t>西安中国书法艺术博物馆（西安唐皇城墙含光门遗址博物馆）经办</w:t>
      </w:r>
    </w:p>
    <w:p>
      <w:pPr>
        <w:pStyle w:val="null3"/>
      </w:pPr>
      <w:r>
        <w:rPr/>
        <w:t xml:space="preserve"> 联系电话： </w:t>
      </w:r>
      <w:r>
        <w:rPr/>
        <w:t>029-87638548</w:t>
      </w:r>
    </w:p>
    <w:p>
      <w:pPr>
        <w:pStyle w:val="null3"/>
        <w:outlineLvl w:val="3"/>
      </w:pPr>
      <w:r>
        <w:rPr>
          <w:b/>
          <w:sz w:val="24"/>
        </w:rPr>
        <w:t>代理机构：</w:t>
      </w:r>
      <w:r>
        <w:rPr>
          <w:b/>
          <w:sz w:val="24"/>
        </w:rPr>
        <w:t>正衡工程项目管理有限公司</w:t>
      </w:r>
    </w:p>
    <w:p>
      <w:pPr>
        <w:pStyle w:val="null3"/>
      </w:pPr>
      <w:r>
        <w:rPr/>
        <w:t xml:space="preserve"> 地址： </w:t>
      </w:r>
      <w:r>
        <w:rPr/>
        <w:t>陕西省西安市航天基地雁塔南路391号正衡金融广场A幢18层</w:t>
      </w:r>
    </w:p>
    <w:p>
      <w:pPr>
        <w:pStyle w:val="null3"/>
      </w:pPr>
      <w:r>
        <w:rPr/>
        <w:t xml:space="preserve"> 邮编： </w:t>
      </w:r>
      <w:r>
        <w:rPr/>
        <w:t>/</w:t>
      </w:r>
    </w:p>
    <w:p>
      <w:pPr>
        <w:pStyle w:val="null3"/>
      </w:pPr>
      <w:r>
        <w:rPr/>
        <w:t xml:space="preserve"> 联系人： </w:t>
      </w:r>
      <w:r>
        <w:rPr/>
        <w:t>曹祎璠、李莹、马敏</w:t>
      </w:r>
    </w:p>
    <w:p>
      <w:pPr>
        <w:pStyle w:val="null3"/>
      </w:pPr>
      <w:r>
        <w:rPr/>
        <w:t xml:space="preserve"> 联系电话： </w:t>
      </w:r>
      <w:r>
        <w:rPr/>
        <w:t xml:space="preserve"> 029-87515832</w:t>
      </w:r>
    </w:p>
    <w:p>
      <w:pPr>
        <w:pStyle w:val="null3"/>
        <w:outlineLvl w:val="3"/>
      </w:pPr>
      <w:r>
        <w:rPr>
          <w:b/>
          <w:sz w:val="24"/>
        </w:rPr>
        <w:t>采购监督机构：</w:t>
      </w:r>
      <w:r>
        <w:rPr>
          <w:b/>
          <w:sz w:val="24"/>
        </w:rPr>
        <w:t>西安曲江新区政府采购管理部</w:t>
      </w:r>
    </w:p>
    <w:p>
      <w:pPr>
        <w:pStyle w:val="null3"/>
        <w:ind w:firstLine="480"/>
      </w:pPr>
      <w:r>
        <w:rPr/>
        <w:t>联系人：</w:t>
      </w:r>
      <w:r>
        <w:rPr/>
        <w:t>寇雪莲</w:t>
      </w:r>
    </w:p>
    <w:p>
      <w:pPr>
        <w:pStyle w:val="null3"/>
        <w:ind w:firstLine="480"/>
      </w:pPr>
      <w:r>
        <w:rPr/>
        <w:t>联系电话：</w:t>
      </w:r>
      <w:r>
        <w:rPr/>
        <w:t>029-68660282</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采购包1：1,975,500.00元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 计价格[2002]1980号）标准的30%计取，由成交供应商在领取成交通知书时向采购代理机构一次付清招标代理服务费。 招标代理费缴纳到以下账号：户名：正衡工程项目管理有限公司 账号：129902420310901 开户行：招商银行西安和平路支行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西安中国书法艺术博物馆</w:t>
      </w:r>
      <w:r>
        <w:rPr/>
        <w:t>和</w:t>
      </w:r>
      <w:r>
        <w:rPr/>
        <w:t>正衡工程项目管理有限公司</w:t>
      </w:r>
      <w:r>
        <w:rPr/>
        <w:t>享有。对磋商文件中供应商参加本次政府采购活动应当具备的条件，磋商项目技术、服务、商务及其他要求，评审细则及标准由</w:t>
      </w:r>
      <w:r>
        <w:rPr/>
        <w:t>西安中国书法艺术博物馆</w:t>
      </w:r>
      <w:r>
        <w:rPr/>
        <w:t>负责解释。除上述磋商文件内容，其他内容由</w:t>
      </w:r>
      <w:r>
        <w:rPr/>
        <w:t>正衡工程项目管理有限公司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西安中国书法艺术博物馆</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正衡工程项目管理有限公司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详见合同约定</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正衡工程项目管理有限公司</w:t>
      </w:r>
      <w:r>
        <w:rPr/>
        <w:t xml:space="preserve"> 负责答复；供应商对除采购需求外的采购文件的询问、质疑由</w:t>
      </w:r>
      <w:r>
        <w:rPr/>
        <w:t>正衡工程项目管理有限公司</w:t>
      </w:r>
      <w:r>
        <w:rPr/>
        <w:t xml:space="preserve"> 负责答复；供应商对采购过程、采购结果的询问、质疑由 </w:t>
      </w:r>
      <w:r>
        <w:rPr/>
        <w:t>正衡工程项目管理有限公司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联系人：曹祎璠、李莹、马敏</w:t>
      </w:r>
    </w:p>
    <w:p>
      <w:pPr>
        <w:pStyle w:val="null3"/>
      </w:pPr>
      <w:r>
        <w:rPr/>
        <w:t>联系电话：029-87515832</w:t>
      </w:r>
    </w:p>
    <w:p>
      <w:pPr>
        <w:pStyle w:val="null3"/>
      </w:pPr>
      <w:r>
        <w:rPr/>
        <w:t>地址：陕西省西安市航天基地雁塔南路391号正衡金融广场A幢18层</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2024年书博（含博）区域事务委托管理服务，管理区域面积为13094.1㎡，主要服务内容：负责西安唐皇城墙含光门遗址博物馆、西安中国书法艺术博物馆等相关区域的日常巡查、停车场管理、门禁管理等工作，为采购人提供专业服务，达到采购人考核标准。</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1,975,500.00</w:t>
      </w:r>
    </w:p>
    <w:p>
      <w:pPr>
        <w:pStyle w:val="null3"/>
      </w:pPr>
      <w:r>
        <w:rPr/>
        <w:t>采购包最高限价（元）: 1,975,500.00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2024年书博（含博）区域事务委托管理服务</w:t>
            </w:r>
          </w:p>
        </w:tc>
        <w:tc>
          <w:tcPr>
            <w:tcW w:type="dxa" w:w="831"/>
          </w:tcPr>
          <w:p>
            <w:pPr>
              <w:pStyle w:val="null3"/>
              <w:jc w:val="right"/>
            </w:pPr>
            <w:r>
              <w:rPr/>
              <w:t>9.00</w:t>
            </w:r>
          </w:p>
        </w:tc>
        <w:tc>
          <w:tcPr>
            <w:tcW w:type="dxa" w:w="831"/>
          </w:tcPr>
          <w:p>
            <w:pPr>
              <w:pStyle w:val="null3"/>
              <w:jc w:val="right"/>
            </w:pPr>
            <w:r>
              <w:rPr/>
              <w:t>1,975,500.00</w:t>
            </w:r>
          </w:p>
        </w:tc>
        <w:tc>
          <w:tcPr>
            <w:tcW w:type="dxa" w:w="831"/>
          </w:tcPr>
          <w:p>
            <w:pPr>
              <w:pStyle w:val="null3"/>
            </w:pPr>
            <w:r>
              <w:rPr/>
              <w:t>月</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标的名称：2024年书博（含博）区域事务委托管理服务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（一）服务内容</w:t>
            </w:r>
          </w:p>
          <w:p>
            <w:pPr>
              <w:pStyle w:val="null3"/>
              <w:jc w:val="left"/>
            </w:pPr>
            <w:r>
              <w:rPr>
                <w:rFonts w:ascii="宋体" w:hAnsi="宋体" w:cs="宋体" w:eastAsia="宋体"/>
                <w:sz w:val="21"/>
              </w:rPr>
              <w:t>1.含光门博物馆展厅区域、遗址区域、南北广场区域</w:t>
            </w:r>
            <w:r>
              <w:rPr>
                <w:rFonts w:ascii="宋体" w:hAnsi="宋体" w:cs="宋体" w:eastAsia="宋体"/>
                <w:sz w:val="21"/>
              </w:rPr>
              <w:t>及相关设施设备</w:t>
            </w:r>
            <w:r>
              <w:rPr>
                <w:rFonts w:ascii="宋体" w:hAnsi="宋体" w:cs="宋体" w:eastAsia="宋体"/>
                <w:sz w:val="21"/>
              </w:rPr>
              <w:t>的日常巡查</w:t>
            </w:r>
            <w:r>
              <w:rPr>
                <w:rFonts w:ascii="宋体" w:hAnsi="宋体" w:cs="宋体" w:eastAsia="宋体"/>
                <w:sz w:val="21"/>
              </w:rPr>
              <w:t>维护</w:t>
            </w:r>
            <w:r>
              <w:rPr>
                <w:rFonts w:ascii="宋体" w:hAnsi="宋体" w:cs="宋体" w:eastAsia="宋体"/>
                <w:sz w:val="21"/>
              </w:rPr>
              <w:t>、不安全行为劝阻、突发事件的协调处置及上报。</w:t>
            </w:r>
          </w:p>
          <w:p>
            <w:pPr>
              <w:pStyle w:val="null3"/>
              <w:jc w:val="left"/>
            </w:pPr>
            <w:r>
              <w:rPr>
                <w:rFonts w:ascii="宋体" w:hAnsi="宋体" w:cs="宋体" w:eastAsia="宋体"/>
                <w:sz w:val="21"/>
              </w:rPr>
              <w:t>2.含光门博物馆文化活动等施工现场监管、经营商户日常监管、</w:t>
            </w:r>
            <w:r>
              <w:rPr>
                <w:rFonts w:ascii="宋体" w:hAnsi="宋体" w:cs="宋体" w:eastAsia="宋体"/>
                <w:sz w:val="21"/>
              </w:rPr>
              <w:t>活动及接待现场秩序维护保障。</w:t>
            </w:r>
          </w:p>
          <w:p>
            <w:pPr>
              <w:pStyle w:val="null3"/>
              <w:jc w:val="left"/>
            </w:pPr>
            <w:r>
              <w:rPr>
                <w:rFonts w:ascii="宋体" w:hAnsi="宋体" w:cs="宋体" w:eastAsia="宋体"/>
                <w:sz w:val="21"/>
              </w:rPr>
              <w:t>3.</w:t>
            </w:r>
            <w:r>
              <w:rPr>
                <w:rFonts w:ascii="宋体" w:hAnsi="宋体" w:cs="宋体" w:eastAsia="宋体"/>
                <w:sz w:val="21"/>
              </w:rPr>
              <w:t>含光门博物馆消控室</w:t>
            </w:r>
            <w:r>
              <w:rPr>
                <w:rFonts w:ascii="宋体" w:hAnsi="宋体" w:cs="宋体" w:eastAsia="宋体"/>
                <w:sz w:val="21"/>
              </w:rPr>
              <w:t>24小时监控值守，统筹做好消防、防汛等突发事件的及时处置、协调及上报工作。</w:t>
            </w:r>
          </w:p>
          <w:p>
            <w:pPr>
              <w:pStyle w:val="null3"/>
              <w:jc w:val="left"/>
            </w:pPr>
            <w:r>
              <w:rPr>
                <w:rFonts w:ascii="宋体" w:hAnsi="宋体" w:cs="宋体" w:eastAsia="宋体"/>
                <w:sz w:val="21"/>
              </w:rPr>
              <w:t>4.含光门博物馆停车场及门禁管理，做好出入车辆、文物的核实放行及停车场车辆规范管理。</w:t>
            </w:r>
          </w:p>
          <w:p>
            <w:pPr>
              <w:pStyle w:val="null3"/>
              <w:jc w:val="left"/>
            </w:pPr>
            <w:r>
              <w:rPr>
                <w:rFonts w:ascii="宋体" w:hAnsi="宋体" w:cs="宋体" w:eastAsia="宋体"/>
                <w:sz w:val="21"/>
              </w:rPr>
              <w:t>5.含光门博物馆日常文物监管。</w:t>
            </w:r>
          </w:p>
          <w:p>
            <w:pPr>
              <w:pStyle w:val="null3"/>
              <w:jc w:val="left"/>
            </w:pPr>
            <w:r>
              <w:rPr>
                <w:rFonts w:ascii="宋体" w:hAnsi="宋体" w:cs="宋体" w:eastAsia="宋体"/>
                <w:sz w:val="21"/>
              </w:rPr>
              <w:t>6.书法博物馆展厅区域、外围及相关设施设备的日常巡查维护、不安全行为劝阻、突发事件的协调处置及上报。</w:t>
            </w:r>
          </w:p>
          <w:p>
            <w:pPr>
              <w:pStyle w:val="null3"/>
              <w:jc w:val="left"/>
            </w:pPr>
            <w:r>
              <w:rPr>
                <w:rFonts w:ascii="宋体" w:hAnsi="宋体" w:cs="宋体" w:eastAsia="宋体"/>
                <w:sz w:val="21"/>
              </w:rPr>
              <w:t>7.书法博物馆文化</w:t>
            </w:r>
            <w:r>
              <w:rPr>
                <w:rFonts w:ascii="宋体" w:hAnsi="宋体" w:cs="宋体" w:eastAsia="宋体"/>
                <w:sz w:val="21"/>
              </w:rPr>
              <w:t>活动等施工现场监管、经营商户日常监管、</w:t>
            </w:r>
            <w:r>
              <w:rPr>
                <w:rFonts w:ascii="宋体" w:hAnsi="宋体" w:cs="宋体" w:eastAsia="宋体"/>
                <w:sz w:val="21"/>
              </w:rPr>
              <w:t>活动及接待现场秩序维护保障。</w:t>
            </w:r>
          </w:p>
          <w:p>
            <w:pPr>
              <w:pStyle w:val="null3"/>
              <w:jc w:val="left"/>
            </w:pPr>
            <w:r>
              <w:rPr>
                <w:rFonts w:ascii="宋体" w:hAnsi="宋体" w:cs="宋体" w:eastAsia="宋体"/>
                <w:sz w:val="21"/>
              </w:rPr>
              <w:t>8.书法博物馆</w:t>
            </w:r>
            <w:r>
              <w:rPr>
                <w:rFonts w:ascii="宋体" w:hAnsi="宋体" w:cs="宋体" w:eastAsia="宋体"/>
                <w:sz w:val="21"/>
              </w:rPr>
              <w:t>消控室</w:t>
            </w:r>
            <w:r>
              <w:rPr>
                <w:rFonts w:ascii="宋体" w:hAnsi="宋体" w:cs="宋体" w:eastAsia="宋体"/>
                <w:sz w:val="21"/>
              </w:rPr>
              <w:t>24小时监控值守，统筹做好消防、防汛等突发事件的及时处置、协调及上报工作。</w:t>
            </w:r>
          </w:p>
          <w:p>
            <w:pPr>
              <w:pStyle w:val="null3"/>
              <w:jc w:val="left"/>
            </w:pPr>
            <w:r>
              <w:rPr>
                <w:rFonts w:ascii="宋体" w:hAnsi="宋体" w:cs="宋体" w:eastAsia="宋体"/>
                <w:sz w:val="21"/>
              </w:rPr>
              <w:t>9.书法博物馆门禁管理，做好出入场馆文物的核实放行。</w:t>
            </w:r>
          </w:p>
          <w:p>
            <w:pPr>
              <w:pStyle w:val="null3"/>
              <w:jc w:val="left"/>
            </w:pPr>
            <w:r>
              <w:rPr>
                <w:rFonts w:ascii="宋体" w:hAnsi="宋体" w:cs="宋体" w:eastAsia="宋体"/>
                <w:sz w:val="21"/>
              </w:rPr>
              <w:t>10.书法博物馆日常文物监管。</w:t>
            </w:r>
          </w:p>
          <w:p>
            <w:pPr>
              <w:pStyle w:val="null3"/>
              <w:jc w:val="left"/>
            </w:pPr>
            <w:r>
              <w:rPr>
                <w:rFonts w:ascii="宋体" w:hAnsi="宋体" w:cs="宋体" w:eastAsia="宋体"/>
                <w:sz w:val="21"/>
              </w:rPr>
              <w:t>11.相关资料整理、归档及报送。</w:t>
            </w:r>
          </w:p>
          <w:p>
            <w:pPr>
              <w:pStyle w:val="null3"/>
              <w:jc w:val="left"/>
            </w:pPr>
            <w:r>
              <w:rPr>
                <w:rFonts w:ascii="宋体" w:hAnsi="宋体" w:cs="宋体" w:eastAsia="宋体"/>
                <w:sz w:val="21"/>
              </w:rPr>
              <w:t>12.</w:t>
            </w:r>
            <w:r>
              <w:rPr>
                <w:rFonts w:ascii="宋体" w:hAnsi="宋体" w:cs="宋体" w:eastAsia="宋体"/>
                <w:sz w:val="21"/>
              </w:rPr>
              <w:t>重大节日或突发事件的临时性工作任务及甲方委托的其他相关工作。</w:t>
            </w:r>
          </w:p>
          <w:p>
            <w:pPr>
              <w:pStyle w:val="null3"/>
              <w:jc w:val="left"/>
            </w:pPr>
            <w:r>
              <w:rPr/>
              <w:t>（二）服务要求</w:t>
            </w:r>
          </w:p>
          <w:p>
            <w:pPr>
              <w:pStyle w:val="null3"/>
              <w:jc w:val="left"/>
            </w:pPr>
            <w:r>
              <w:rPr>
                <w:rFonts w:ascii="宋体" w:hAnsi="宋体" w:cs="宋体" w:eastAsia="宋体"/>
                <w:sz w:val="21"/>
              </w:rPr>
              <w:t>1、采购人与服务商共同确定执勤岗位及岗位职责，采购人审定后批准实施。管理制度齐全完善、标准、上墙公示，服务人员统一服装、挂牌上岗；服务商实行24小时不间断值班、巡查等</w:t>
            </w:r>
            <w:r>
              <w:rPr>
                <w:rFonts w:ascii="宋体" w:hAnsi="宋体" w:cs="宋体" w:eastAsia="宋体"/>
                <w:sz w:val="21"/>
              </w:rPr>
              <w:t>管理</w:t>
            </w:r>
            <w:r>
              <w:rPr>
                <w:rFonts w:ascii="宋体" w:hAnsi="宋体" w:cs="宋体" w:eastAsia="宋体"/>
                <w:sz w:val="21"/>
              </w:rPr>
              <w:t>工作。</w:t>
            </w:r>
          </w:p>
          <w:p>
            <w:pPr>
              <w:pStyle w:val="null3"/>
              <w:jc w:val="left"/>
            </w:pPr>
            <w:r>
              <w:rPr>
                <w:rFonts w:ascii="宋体" w:hAnsi="宋体" w:cs="宋体" w:eastAsia="宋体"/>
                <w:sz w:val="21"/>
              </w:rPr>
              <w:t>2</w:t>
            </w:r>
            <w:r>
              <w:rPr>
                <w:rFonts w:ascii="宋体" w:hAnsi="宋体" w:cs="宋体" w:eastAsia="宋体"/>
                <w:sz w:val="21"/>
              </w:rPr>
              <w:t>、服务商对所录人员要求要严格调查审核，保证录用人员没有劳动教养和犯罪记录，健康状况良好、无精神病史、无不良嗜好。</w:t>
            </w:r>
          </w:p>
          <w:p>
            <w:pPr>
              <w:pStyle w:val="null3"/>
              <w:jc w:val="left"/>
            </w:pPr>
            <w:r>
              <w:rPr>
                <w:rFonts w:ascii="宋体" w:hAnsi="宋体" w:cs="宋体" w:eastAsia="宋体"/>
                <w:sz w:val="21"/>
              </w:rPr>
              <w:t>3</w:t>
            </w:r>
            <w:r>
              <w:rPr>
                <w:rFonts w:ascii="宋体" w:hAnsi="宋体" w:cs="宋体" w:eastAsia="宋体"/>
                <w:sz w:val="21"/>
              </w:rPr>
              <w:t>、服务商应建立完善的管理制度体系。包括</w:t>
            </w:r>
            <w:r>
              <w:rPr>
                <w:rFonts w:ascii="宋体" w:hAnsi="宋体" w:cs="宋体" w:eastAsia="宋体"/>
                <w:sz w:val="21"/>
              </w:rPr>
              <w:t>管理区域内巡查</w:t>
            </w:r>
            <w:r>
              <w:rPr>
                <w:rFonts w:ascii="宋体" w:hAnsi="宋体" w:cs="宋体" w:eastAsia="宋体"/>
                <w:sz w:val="21"/>
              </w:rPr>
              <w:t>管理</w:t>
            </w:r>
            <w:r>
              <w:rPr>
                <w:rFonts w:ascii="宋体" w:hAnsi="宋体" w:cs="宋体" w:eastAsia="宋体"/>
                <w:sz w:val="21"/>
              </w:rPr>
              <w:t>制度</w:t>
            </w:r>
            <w:r>
              <w:rPr>
                <w:rFonts w:ascii="宋体" w:hAnsi="宋体" w:cs="宋体" w:eastAsia="宋体"/>
                <w:sz w:val="21"/>
              </w:rPr>
              <w:t>等。</w:t>
            </w:r>
          </w:p>
          <w:p>
            <w:pPr>
              <w:pStyle w:val="null3"/>
              <w:jc w:val="left"/>
            </w:pPr>
            <w:r>
              <w:rPr>
                <w:rFonts w:ascii="宋体" w:hAnsi="宋体" w:cs="宋体" w:eastAsia="宋体"/>
                <w:sz w:val="21"/>
              </w:rPr>
              <w:t>4</w:t>
            </w:r>
            <w:r>
              <w:rPr>
                <w:rFonts w:ascii="宋体" w:hAnsi="宋体" w:cs="宋体" w:eastAsia="宋体"/>
                <w:sz w:val="21"/>
              </w:rPr>
              <w:t>、根据采购人要求做好</w:t>
            </w:r>
            <w:r>
              <w:rPr>
                <w:rFonts w:ascii="宋体" w:hAnsi="宋体" w:cs="宋体" w:eastAsia="宋体"/>
                <w:sz w:val="21"/>
              </w:rPr>
              <w:t>本项目</w:t>
            </w:r>
            <w:r>
              <w:rPr>
                <w:rFonts w:ascii="宋体" w:hAnsi="宋体" w:cs="宋体" w:eastAsia="宋体"/>
                <w:sz w:val="21"/>
              </w:rPr>
              <w:t>相关的其他服务工作。</w:t>
            </w:r>
          </w:p>
        </w:tc>
      </w:tr>
      <w:tr>
        <w:tc>
          <w:tcPr>
            <w:tcW w:type="dxa" w:w="2769"/>
          </w:tcPr>
          <w:p/>
        </w:tc>
        <w:tc>
          <w:tcPr>
            <w:tcW w:type="dxa" w:w="2769"/>
          </w:tcPr>
          <w:p>
            <w:pPr>
              <w:pStyle w:val="null3"/>
            </w:pPr>
            <w:r>
              <w:rPr/>
              <w:t>2</w:t>
            </w:r>
          </w:p>
        </w:tc>
        <w:tc>
          <w:tcPr>
            <w:tcW w:type="dxa" w:w="2769"/>
          </w:tcPr>
          <w:p>
            <w:pPr>
              <w:pStyle w:val="null3"/>
              <w:ind w:firstLine="422"/>
              <w:jc w:val="center"/>
            </w:pPr>
            <w:r>
              <w:rPr>
                <w:rFonts w:ascii="宋体" w:hAnsi="宋体" w:cs="宋体" w:eastAsia="宋体"/>
                <w:b/>
                <w:sz w:val="21"/>
              </w:rPr>
              <w:t>管理区域及工作内容明细表</w:t>
            </w:r>
          </w:p>
          <w:tbl>
            <w:tblPr>
              <w:tblBorders>
                <w:top w:val="none" w:color="000000" w:sz="4"/>
                <w:left w:val="none" w:color="000000" w:sz="4"/>
                <w:bottom w:val="none" w:color="000000" w:sz="4"/>
                <w:right w:val="none" w:color="000000" w:sz="4"/>
                <w:insideH w:val="none"/>
                <w:insideV w:val="none"/>
              </w:tblBorders>
            </w:tblPr>
            <w:tblGrid>
              <w:gridCol w:w="517"/>
              <w:gridCol w:w="2036"/>
            </w:tblGrid>
            <w:tr>
              <w:tc>
                <w:tcPr>
                  <w:tcW w:type="dxa" w:w="25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1"/>
                    </w:rPr>
                    <w:t>区域一：西安唐皇城墙含光门遗址博物馆</w:t>
                  </w:r>
                </w:p>
              </w:tc>
            </w:tr>
            <w:tr>
              <w:tc>
                <w:tcPr>
                  <w:tcW w:type="dxa" w:w="5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序号</w:t>
                  </w:r>
                </w:p>
              </w:tc>
              <w:tc>
                <w:tcPr>
                  <w:tcW w:type="dxa" w:w="203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1"/>
                    </w:rPr>
                    <w:t>管理区域及工作内容</w:t>
                  </w:r>
                </w:p>
              </w:tc>
            </w:tr>
            <w:tr>
              <w:tc>
                <w:tcPr>
                  <w:tcW w:type="dxa" w:w="517"/>
                  <w:vMerge/>
                  <w:tcBorders>
                    <w:top w:val="none" w:color="000000" w:sz="4"/>
                    <w:left w:val="single" w:color="000000" w:sz="4"/>
                    <w:bottom w:val="single" w:color="000000" w:sz="4"/>
                    <w:right w:val="single" w:color="000000" w:sz="4"/>
                  </w:tcBorders>
                </w:tcPr>
                <w:p/>
              </w:tc>
              <w:tc>
                <w:tcPr>
                  <w:tcW w:type="dxa" w:w="2036"/>
                  <w:vMerge/>
                  <w:tcBorders>
                    <w:top w:val="single" w:color="000000" w:sz="4"/>
                    <w:left w:val="single" w:color="000000" w:sz="4"/>
                    <w:bottom w:val="single" w:color="000000" w:sz="4"/>
                    <w:right w:val="single" w:color="000000" w:sz="4"/>
                  </w:tcBorders>
                </w:tcP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展厅区域巡查</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遗址区域巡查</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广场区域巡查</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活动及接待现场秩序维护</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经营商户日常监管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文化活动等施工现场监管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24小时监控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停车场管理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门禁管理</w:t>
                  </w:r>
                </w:p>
              </w:tc>
            </w:tr>
            <w:tr>
              <w:tc>
                <w:tcPr>
                  <w:tcW w:type="dxa" w:w="25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1"/>
                    </w:rPr>
                    <w:t>区域二：西安中国书法艺术博物馆</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0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展厅区域巡查</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文物监管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活动及接待现场秩序维护</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经营商户日常监管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文化活动等施工现场监管</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24小时监控</w:t>
                  </w:r>
                </w:p>
              </w:tc>
            </w:tr>
            <w:tr>
              <w:tc>
                <w:tcPr>
                  <w:tcW w:type="dxa" w:w="5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20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门禁管理</w:t>
                  </w:r>
                </w:p>
              </w:tc>
            </w:tr>
          </w:tbl>
          <w:p/>
        </w:tc>
      </w:tr>
    </w:tbl>
    <w:p>
      <w:pPr>
        <w:pStyle w:val="null3"/>
        <w:outlineLvl w:val="2"/>
      </w:pPr>
      <w:r>
        <w:rPr>
          <w:b/>
          <w:sz w:val="28"/>
        </w:rPr>
        <w:t>3.2.3人员配置要求</w:t>
      </w:r>
    </w:p>
    <w:p>
      <w:pPr>
        <w:pStyle w:val="null3"/>
      </w:pPr>
      <w:r>
        <w:rPr/>
        <w:t>采购包1：</w:t>
      </w:r>
    </w:p>
    <w:p>
      <w:pPr>
        <w:pStyle w:val="null3"/>
      </w:pPr>
      <w:r>
        <w:rPr/>
        <w:t>（一）工作人员岗位要求： 工作人员实行轮班制，供应商应保证24小时内有值守人员，工作人员排班由供应商根据工作需要自行安排。 （二）配备工作人员原则要求： （1）配备的所有工作人员必须具有良好的道德情操，热爱本职工作，敬业爱岗，具有一定工作经验。 （2）工作人员须有较高的文化素质和较强的实际操作能力，能处理工作过程中遇到的实际问题，有克服困难的能力。 （3）实行定人定岗定位，人员配备最优化以达到最佳服务效果。 （4）对工作人员不仅重视学历，更重视能力，对高分低能人员坚决不予使用。 （5）男员工不准留胡须、蓄长发、染发（黑色除外）、刺青纹身、佩戴过分的饰物。 （6）工作人员需统一制服上岗，穿戴规范，语言文明，举止大方。 （7）所有工作人员工作时间禁止吸烟、聊天以及做和工作无关的事情。 （三）突发事件处置要求： 1、服务商应建立完善的各项应急处置方案（如：火灾、水灾、盗窃、破坏、爆炸、打架斗殴、寻衅滋事等）。应急处置方案报博物馆备案，并定期对工作人员进行应急处置培训及演练，使工作人员能快速、妥善处理各类突发事件。 2、协助采购人在管辖范围内处理各种纠纷事件，保障人员不受伤害，文物、财产不受损失，旅游秩序不受影响。 3、遇发生重大安全事件时，及时向采购人报告，必要时紧急联系公安部门进行处置。</w:t>
      </w:r>
    </w:p>
    <w:p>
      <w:pPr>
        <w:pStyle w:val="null3"/>
        <w:outlineLvl w:val="2"/>
      </w:pPr>
      <w:r>
        <w:rPr>
          <w:b/>
          <w:sz w:val="28"/>
        </w:rPr>
        <w:t>3.2.4设施设备要求</w:t>
      </w:r>
    </w:p>
    <w:p>
      <w:pPr>
        <w:pStyle w:val="null3"/>
      </w:pPr>
      <w:r>
        <w:rPr/>
        <w:t>采购包1：</w:t>
      </w:r>
    </w:p>
    <w:p>
      <w:pPr>
        <w:pStyle w:val="null3"/>
      </w:pPr>
      <w:r>
        <w:rPr/>
        <w:t>/</w:t>
      </w:r>
    </w:p>
    <w:p>
      <w:pPr>
        <w:pStyle w:val="null3"/>
        <w:outlineLvl w:val="2"/>
      </w:pPr>
      <w:r>
        <w:rPr>
          <w:b/>
          <w:sz w:val="28"/>
        </w:rPr>
        <w:t>3.2.5其他要求</w:t>
      </w:r>
    </w:p>
    <w:p>
      <w:pPr>
        <w:pStyle w:val="null3"/>
      </w:pPr>
      <w:r>
        <w:rPr/>
        <w:t>采购包1：</w:t>
      </w:r>
    </w:p>
    <w:p>
      <w:pPr>
        <w:pStyle w:val="null3"/>
      </w:pPr>
      <w:r>
        <w:rPr/>
        <w:t>1、采购人主管部门对服务商的工作进行监督检查和协调沟通。 2、服务商项目负责人应主动与采购人主管部门联络，定时征求意见并改进工作。服务商如更换负责人，应征得采购人主管部门同意后方可更换。如有违反按违约处罚。 3、采购人每月将定期对工作人员队伍服务质量进行评估考核。</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自合同签订之日起9个月</w:t>
      </w:r>
    </w:p>
    <w:p>
      <w:pPr>
        <w:pStyle w:val="null3"/>
        <w:outlineLvl w:val="3"/>
      </w:pPr>
      <w:r>
        <w:rPr>
          <w:b/>
          <w:sz w:val="24"/>
        </w:rPr>
        <w:t>3.3.2服务地点</w:t>
      </w:r>
    </w:p>
    <w:p>
      <w:pPr>
        <w:pStyle w:val="null3"/>
      </w:pPr>
      <w:r>
        <w:rPr/>
        <w:t>采购包1：</w:t>
      </w:r>
    </w:p>
    <w:p>
      <w:pPr>
        <w:pStyle w:val="null3"/>
      </w:pPr>
      <w:r>
        <w:rPr/>
        <w:t>西安中国书法艺术博物馆、西安唐皇城墙含光门遗址博物馆</w:t>
      </w:r>
    </w:p>
    <w:p>
      <w:pPr>
        <w:pStyle w:val="null3"/>
        <w:outlineLvl w:val="3"/>
      </w:pPr>
      <w:r>
        <w:rPr>
          <w:b/>
          <w:sz w:val="24"/>
        </w:rPr>
        <w:t>3.3.3考核（验收）标准和方法</w:t>
      </w:r>
    </w:p>
    <w:p>
      <w:pPr>
        <w:pStyle w:val="null3"/>
      </w:pPr>
      <w:r>
        <w:rPr/>
        <w:t>采购包1：</w:t>
      </w:r>
    </w:p>
    <w:p>
      <w:pPr>
        <w:pStyle w:val="null3"/>
      </w:pPr>
      <w:r>
        <w:rPr/>
        <w:t>按照采购人的要求执行，详见合同约定</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11.11</w:t>
      </w:r>
      <w:r>
        <w:rPr/>
        <w:t>%。</w:t>
      </w:r>
    </w:p>
    <w:p>
      <w:pPr>
        <w:pStyle w:val="null3"/>
      </w:pPr>
      <w:r>
        <w:rPr/>
        <w:t>采购包1：</w:t>
      </w:r>
      <w:r>
        <w:rPr/>
        <w:t xml:space="preserve"> 付款条件说明： </w:t>
      </w:r>
      <w:r>
        <w:rPr/>
        <w:t>按月付款</w:t>
      </w:r>
      <w:r>
        <w:rPr/>
        <w:t xml:space="preserve"> ，达到付款条件起 </w:t>
      </w:r>
      <w:r>
        <w:rPr/>
        <w:t>10</w:t>
      </w:r>
      <w:r>
        <w:rPr/>
        <w:t xml:space="preserve"> 日内，支付合同总金额的 </w:t>
      </w:r>
      <w:r>
        <w:rPr/>
        <w:t>11.12</w:t>
      </w:r>
      <w:r>
        <w:rPr/>
        <w:t>%。</w:t>
      </w:r>
    </w:p>
    <w:p>
      <w:pPr>
        <w:pStyle w:val="null3"/>
        <w:outlineLvl w:val="3"/>
      </w:pPr>
      <w:r>
        <w:rPr>
          <w:b/>
          <w:sz w:val="24"/>
        </w:rPr>
        <w:t>3.3.6违约责任及解决争议的方法</w:t>
      </w:r>
    </w:p>
    <w:p>
      <w:pPr>
        <w:pStyle w:val="null3"/>
      </w:pPr>
      <w:r>
        <w:rPr/>
        <w:t>采购包1：</w:t>
      </w:r>
    </w:p>
    <w:p>
      <w:pPr>
        <w:pStyle w:val="null3"/>
      </w:pPr>
      <w:r>
        <w:rPr/>
        <w:t>详见合同约定</w:t>
      </w:r>
    </w:p>
    <w:p>
      <w:pPr>
        <w:pStyle w:val="null3"/>
        <w:outlineLvl w:val="2"/>
      </w:pPr>
      <w:r>
        <w:rPr>
          <w:b/>
          <w:sz w:val="28"/>
        </w:rPr>
        <w:t>3.4其他要求</w:t>
      </w:r>
    </w:p>
    <w:p>
      <w:pPr>
        <w:pStyle w:val="null3"/>
      </w:pPr>
      <w:r>
        <w:rPr/>
        <w:t>详见合同约定</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（1）具有独立承担民事责任能力的法人或其他组织，提供有效存续的营业执照或事业单位法人证书或非企业专业服务机构执业许可证或民办非企业单位登记证书或自然人的身份证明； （2）供应商须提供具有履行合同所必需的设备和专业技术能力的承诺； （3）税收缴纳证明：提供开标前6个月以来已缴纳任意时段的完税凭证或税务机关开具的完税证明（任意税种），纳税证明或完税证明上应有代收机构或税务机关的公章或专用章。依法免税的供应商应提供相关文件证明； （4）社会保障资金缴纳证明：提供开标前6个月以来已缴纳任意时段的社会保障资金缴存单据或社保机构开具的社会保险参保缴费情况证明，单据或证明上应有社保机构或代收机构的公章或专用章。依法不需要缴纳社会保障资金的供应商应提供相关文件证明； （5）出具参加本次政府采购活动前三年内在经营活动中没有重大违法记录（包括但不限于未被列入失信被执行人、重大税收违法案件当事人名单、政府采购严重违法失信行为记录名单）的书面声明。 供应商需在项目电子化交易系统中按要求填写《投标函》完成承诺、上传相应证明文件并进行电子签章。</w:t>
            </w:r>
          </w:p>
        </w:tc>
        <w:tc>
          <w:tcPr>
            <w:tcW w:type="dxa" w:w="1661"/>
          </w:tcPr>
          <w:p>
            <w:pPr>
              <w:pStyle w:val="null3"/>
            </w:pPr>
            <w:r>
              <w:rPr/>
              <w:t>资格证明文件 中小企业声明函 残疾人福利性单位声明函 陕西省政府采购供应商拒绝政府采购领域商业贿赂承诺书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财务状况报告：提供审计事务所出具的2022年度的财务报告，包括 “四表一注”（即资产负债表、利润表、现金流量表、所有者权益变动表（若有）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或承诺。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法定代表人直接参加磋商的，须出具法定代表人身份证明，法定代表人授权代表参加磋商的，须出具法定代表人授权书；</w:t>
            </w:r>
          </w:p>
        </w:tc>
        <w:tc>
          <w:tcPr>
            <w:tcW w:type="dxa" w:w="3322"/>
          </w:tcPr>
          <w:p>
            <w:pPr>
              <w:pStyle w:val="null3"/>
            </w:pPr>
            <w:r>
              <w:rPr/>
              <w:t>法定代表人直接参加磋商的，须出具法定代表人身份证明，法定代表人授权代表参加磋商的，须出具法定代表人授权书。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符合《财政部关于在政府采购活动中查询及使用信用记录有关问题的通知》（财库【2016】125号）文件中信用查询的要求</w:t>
            </w:r>
          </w:p>
        </w:tc>
        <w:tc>
          <w:tcPr>
            <w:tcW w:type="dxa" w:w="3322"/>
          </w:tcPr>
          <w:p>
            <w:pPr>
              <w:pStyle w:val="null3"/>
            </w:pPr>
            <w:r>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t>资格证明文件 响应函</w:t>
            </w:r>
          </w:p>
        </w:tc>
      </w:tr>
      <w:tr>
        <w:tc>
          <w:tcPr>
            <w:tcW w:type="dxa" w:w="831"/>
          </w:tcPr>
          <w:p>
            <w:pPr>
              <w:pStyle w:val="null3"/>
            </w:pPr>
            <w:r>
              <w:rPr/>
              <w:t>4</w:t>
            </w:r>
          </w:p>
        </w:tc>
        <w:tc>
          <w:tcPr>
            <w:tcW w:type="dxa" w:w="2492"/>
          </w:tcPr>
          <w:p>
            <w:pPr>
              <w:pStyle w:val="null3"/>
            </w:pPr>
            <w:r>
              <w:rPr/>
              <w:t>不接受联合体磋商</w:t>
            </w:r>
          </w:p>
        </w:tc>
        <w:tc>
          <w:tcPr>
            <w:tcW w:type="dxa" w:w="3322"/>
          </w:tcPr>
          <w:p>
            <w:pPr>
              <w:pStyle w:val="null3"/>
            </w:pPr>
            <w:r>
              <w:rPr/>
              <w:t>不接受联合体磋商</w:t>
            </w:r>
          </w:p>
        </w:tc>
        <w:tc>
          <w:tcPr>
            <w:tcW w:type="dxa" w:w="1661"/>
          </w:tcPr>
          <w:p>
            <w:pPr>
              <w:pStyle w:val="null3"/>
            </w:pPr>
            <w:r>
              <w:rPr/>
              <w:t>资格证明文件</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竞争性磋商响应文件是否按照竞争性磋商文件要求的格式编写</w:t>
            </w:r>
          </w:p>
        </w:tc>
        <w:tc>
          <w:tcPr>
            <w:tcW w:type="dxa" w:w="3322"/>
          </w:tcPr>
          <w:p>
            <w:pPr>
              <w:pStyle w:val="null3"/>
            </w:pPr>
            <w:r>
              <w:rPr/>
              <w:t>竞争性磋商响应文件是否按照竞争性磋商文件要求的格式编写</w:t>
            </w:r>
          </w:p>
        </w:tc>
        <w:tc>
          <w:tcPr>
            <w:tcW w:type="dxa" w:w="1661"/>
          </w:tcPr>
          <w:p>
            <w:pPr>
              <w:pStyle w:val="null3"/>
            </w:pPr>
            <w:r>
              <w:rPr/>
              <w:t>磋商报价函 响应文件封面 资格证明文件 其他材料 中小企业声明函 残疾人福利性单位声明函 标的清单 陕西省政府采购供应商拒绝政府采购领域商业贿赂承诺书 响应函 监狱企业的证明文件 技术响应资料</w:t>
            </w:r>
          </w:p>
        </w:tc>
      </w:tr>
      <w:tr>
        <w:tc>
          <w:tcPr>
            <w:tcW w:type="dxa" w:w="831"/>
          </w:tcPr>
          <w:p>
            <w:pPr>
              <w:pStyle w:val="null3"/>
            </w:pPr>
            <w:r>
              <w:rPr/>
              <w:t>3</w:t>
            </w:r>
          </w:p>
        </w:tc>
        <w:tc>
          <w:tcPr>
            <w:tcW w:type="dxa" w:w="2492"/>
          </w:tcPr>
          <w:p>
            <w:pPr>
              <w:pStyle w:val="null3"/>
            </w:pPr>
            <w:r>
              <w:rPr/>
              <w:t>竞争性磋商响应文件的签署、加盖印章是否合格、有效</w:t>
            </w:r>
          </w:p>
        </w:tc>
        <w:tc>
          <w:tcPr>
            <w:tcW w:type="dxa" w:w="3322"/>
          </w:tcPr>
          <w:p>
            <w:pPr>
              <w:pStyle w:val="null3"/>
            </w:pPr>
            <w:r>
              <w:rPr/>
              <w:t>竞争性磋商响应文件的签署、加盖印章是否合格、有效</w:t>
            </w:r>
          </w:p>
        </w:tc>
        <w:tc>
          <w:tcPr>
            <w:tcW w:type="dxa" w:w="1661"/>
          </w:tcPr>
          <w:p>
            <w:pPr>
              <w:pStyle w:val="null3"/>
            </w:pPr>
            <w:r>
              <w:rPr/>
              <w:t>磋商报价函 响应文件封面 资格证明文件 中小企业声明函 残疾人福利性单位声明函 标的清单 陕西省政府采购供应商拒绝政府采购领域商业贿赂承诺书 响应函 监狱企业的证明文件</w:t>
            </w:r>
          </w:p>
        </w:tc>
      </w:tr>
      <w:tr>
        <w:tc>
          <w:tcPr>
            <w:tcW w:type="dxa" w:w="831"/>
          </w:tcPr>
          <w:p>
            <w:pPr>
              <w:pStyle w:val="null3"/>
            </w:pPr>
            <w:r>
              <w:rPr/>
              <w:t>4</w:t>
            </w:r>
          </w:p>
        </w:tc>
        <w:tc>
          <w:tcPr>
            <w:tcW w:type="dxa" w:w="2492"/>
          </w:tcPr>
          <w:p>
            <w:pPr>
              <w:pStyle w:val="null3"/>
            </w:pPr>
            <w:r>
              <w:rPr/>
              <w:t>磋商报价是否未超过采购预算</w:t>
            </w:r>
          </w:p>
        </w:tc>
        <w:tc>
          <w:tcPr>
            <w:tcW w:type="dxa" w:w="3322"/>
          </w:tcPr>
          <w:p>
            <w:pPr>
              <w:pStyle w:val="null3"/>
            </w:pPr>
            <w:r>
              <w:rPr/>
              <w:t>磋商报价是否未超过采购预算</w:t>
            </w:r>
          </w:p>
        </w:tc>
        <w:tc>
          <w:tcPr>
            <w:tcW w:type="dxa" w:w="1661"/>
          </w:tcPr>
          <w:p>
            <w:pPr>
              <w:pStyle w:val="null3"/>
            </w:pPr>
            <w:r>
              <w:rPr/>
              <w:t>磋商报价函 标的清单 响应函</w:t>
            </w:r>
          </w:p>
        </w:tc>
      </w:tr>
      <w:tr>
        <w:tc>
          <w:tcPr>
            <w:tcW w:type="dxa" w:w="831"/>
          </w:tcPr>
          <w:p>
            <w:pPr>
              <w:pStyle w:val="null3"/>
            </w:pPr>
            <w:r>
              <w:rPr/>
              <w:t>5</w:t>
            </w:r>
          </w:p>
        </w:tc>
        <w:tc>
          <w:tcPr>
            <w:tcW w:type="dxa" w:w="2492"/>
          </w:tcPr>
          <w:p>
            <w:pPr>
              <w:pStyle w:val="null3"/>
            </w:pPr>
            <w:r>
              <w:rPr/>
              <w:t>投标有效期是否符合竞争性磋商文 件的要求</w:t>
            </w:r>
          </w:p>
        </w:tc>
        <w:tc>
          <w:tcPr>
            <w:tcW w:type="dxa" w:w="3322"/>
          </w:tcPr>
          <w:p>
            <w:pPr>
              <w:pStyle w:val="null3"/>
            </w:pPr>
            <w:r>
              <w:rPr/>
              <w:t>投标有效期是否符合竞争性磋商文件的要求</w:t>
            </w:r>
          </w:p>
        </w:tc>
        <w:tc>
          <w:tcPr>
            <w:tcW w:type="dxa" w:w="1661"/>
          </w:tcPr>
          <w:p>
            <w:pPr>
              <w:pStyle w:val="null3"/>
            </w:pPr>
            <w:r>
              <w:rPr/>
              <w:t>磋商报价函 响应函</w:t>
            </w:r>
          </w:p>
        </w:tc>
      </w:tr>
      <w:tr>
        <w:tc>
          <w:tcPr>
            <w:tcW w:type="dxa" w:w="831"/>
          </w:tcPr>
          <w:p>
            <w:pPr>
              <w:pStyle w:val="null3"/>
            </w:pPr>
            <w:r>
              <w:rPr/>
              <w:t>6</w:t>
            </w:r>
          </w:p>
        </w:tc>
        <w:tc>
          <w:tcPr>
            <w:tcW w:type="dxa" w:w="2492"/>
          </w:tcPr>
          <w:p>
            <w:pPr>
              <w:pStyle w:val="null3"/>
            </w:pPr>
            <w:r>
              <w:rPr/>
              <w:t>服务期是否符合竞争性磋商文件的 要求</w:t>
            </w:r>
          </w:p>
        </w:tc>
        <w:tc>
          <w:tcPr>
            <w:tcW w:type="dxa" w:w="3322"/>
          </w:tcPr>
          <w:p>
            <w:pPr>
              <w:pStyle w:val="null3"/>
            </w:pPr>
            <w:r>
              <w:rPr/>
              <w:t>服务期是否符合竞争性磋商文件的要求</w:t>
            </w:r>
          </w:p>
        </w:tc>
        <w:tc>
          <w:tcPr>
            <w:tcW w:type="dxa" w:w="1661"/>
          </w:tcPr>
          <w:p>
            <w:pPr>
              <w:pStyle w:val="null3"/>
            </w:pPr>
            <w:r>
              <w:rPr/>
              <w:t>磋商报价函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总体管理方案</w:t>
            </w:r>
          </w:p>
        </w:tc>
        <w:tc>
          <w:tcPr>
            <w:tcW w:type="dxa" w:w="2492"/>
          </w:tcPr>
          <w:p>
            <w:pPr>
              <w:pStyle w:val="null3"/>
            </w:pPr>
            <w:r>
              <w:rPr/>
              <w:t>服务商根据本项目的总体认识，提供针对本项目的整体管理方案，包括但不限于： ①本项目重点、难点的把握； ②区域事务管理总体思路与进退场交接方案； ③管理构架和各项管理制度（针对本项目拟定的各岗位管理制度、岗位职责、工作标准；安全管理制度；档案管理制度；内控制度等）。 [10-15分]:方案能够把握项目重点难点，针对性强；各项制度规范性强，服务标准高，且具有优秀的可操作性； [5-10分）:方案针对性较好，具有一定的可操作性； [0-5分）:方案笼统、针对性差，或无本项方案。</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技术响应资料</w:t>
            </w:r>
          </w:p>
          <w:p>
            <w:pPr>
              <w:pStyle w:val="null3"/>
            </w:pPr>
            <w:r>
              <w:rPr/>
              <w:t>其他材料</w:t>
            </w:r>
          </w:p>
        </w:tc>
      </w:tr>
      <w:tr>
        <w:tc>
          <w:tcPr>
            <w:tcW w:type="dxa" w:w="831"/>
            <w:vMerge/>
          </w:tcPr>
          <w:p/>
        </w:tc>
        <w:tc>
          <w:tcPr>
            <w:tcW w:type="dxa" w:w="1661"/>
          </w:tcPr>
          <w:p>
            <w:pPr>
              <w:pStyle w:val="null3"/>
            </w:pPr>
            <w:r>
              <w:rPr/>
              <w:t>服务运行、实施方案</w:t>
            </w:r>
          </w:p>
        </w:tc>
        <w:tc>
          <w:tcPr>
            <w:tcW w:type="dxa" w:w="2492"/>
          </w:tcPr>
          <w:p>
            <w:pPr>
              <w:pStyle w:val="null3"/>
            </w:pPr>
            <w:r>
              <w:rPr/>
              <w:t>提供针对本项目各区域管理服务方案，内容包括但不限于:①岗位分工、人员配备标准；②岗位工作内容、工作流程及标准等；③服务质量标准等。 [10-15分]：方案考量全面，人员分工安排科学合理，设计合理、可操作性强，具有较好的针对性； [5-10分）：方案较为详细、具有一定可操作性和针对性； [0-5分）：方案笼统、可操作性一般，或无本项方案。</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其他材料</w:t>
            </w:r>
          </w:p>
          <w:p>
            <w:pPr>
              <w:pStyle w:val="null3"/>
            </w:pPr>
            <w:r>
              <w:rPr/>
              <w:t>技术响应资料</w:t>
            </w:r>
          </w:p>
        </w:tc>
      </w:tr>
      <w:tr>
        <w:tc>
          <w:tcPr>
            <w:tcW w:type="dxa" w:w="831"/>
            <w:vMerge/>
          </w:tcPr>
          <w:p/>
        </w:tc>
        <w:tc>
          <w:tcPr>
            <w:tcW w:type="dxa" w:w="1661"/>
          </w:tcPr>
          <w:p>
            <w:pPr>
              <w:pStyle w:val="null3"/>
            </w:pPr>
            <w:r>
              <w:rPr/>
              <w:t>应急处置方案</w:t>
            </w:r>
          </w:p>
        </w:tc>
        <w:tc>
          <w:tcPr>
            <w:tcW w:type="dxa" w:w="2492"/>
          </w:tcPr>
          <w:p>
            <w:pPr>
              <w:pStyle w:val="null3"/>
            </w:pPr>
            <w:r>
              <w:rPr/>
              <w:t>提供针对本项目的应急处置方案，包括但不限于突发事件（如遇火灾、特殊雨雪天气）、事故处理、重大活动等。 [10-15分]：方案考量全面、应急措施得当、响应高效、可操作性强； [5-10分）：方案较为详细、应急措施可操作性较好； [0-5分）：方案笼统合理性一般、可操作性一般。</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技术响应资料</w:t>
            </w:r>
          </w:p>
          <w:p>
            <w:pPr>
              <w:pStyle w:val="null3"/>
            </w:pPr>
            <w:r>
              <w:rPr/>
              <w:t>其他材料</w:t>
            </w:r>
          </w:p>
        </w:tc>
      </w:tr>
      <w:tr>
        <w:tc>
          <w:tcPr>
            <w:tcW w:type="dxa" w:w="831"/>
            <w:vMerge/>
          </w:tcPr>
          <w:p/>
        </w:tc>
        <w:tc>
          <w:tcPr>
            <w:tcW w:type="dxa" w:w="1661"/>
          </w:tcPr>
          <w:p>
            <w:pPr>
              <w:pStyle w:val="null3"/>
            </w:pPr>
            <w:r>
              <w:rPr/>
              <w:t>人员配备（一）</w:t>
            </w:r>
          </w:p>
        </w:tc>
        <w:tc>
          <w:tcPr>
            <w:tcW w:type="dxa" w:w="2492"/>
          </w:tcPr>
          <w:p>
            <w:pPr>
              <w:pStyle w:val="null3"/>
            </w:pPr>
            <w:r>
              <w:rPr/>
              <w:t>项目负责人配备： 项目负责人具有高级专业技术职称得5分，中级专业技术职称得3分，没有得0分。（需提供人员相关证明文件加盖单位公章，否则不得分）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技术响应资料</w:t>
            </w:r>
          </w:p>
          <w:p>
            <w:pPr>
              <w:pStyle w:val="null3"/>
            </w:pPr>
            <w:r>
              <w:rPr/>
              <w:t>其他材料</w:t>
            </w:r>
          </w:p>
        </w:tc>
      </w:tr>
      <w:tr>
        <w:tc>
          <w:tcPr>
            <w:tcW w:type="dxa" w:w="831"/>
            <w:vMerge/>
          </w:tcPr>
          <w:p/>
        </w:tc>
        <w:tc>
          <w:tcPr>
            <w:tcW w:type="dxa" w:w="1661"/>
          </w:tcPr>
          <w:p>
            <w:pPr>
              <w:pStyle w:val="null3"/>
            </w:pPr>
            <w:r>
              <w:rPr/>
              <w:t>人员配备（二）</w:t>
            </w:r>
          </w:p>
        </w:tc>
        <w:tc>
          <w:tcPr>
            <w:tcW w:type="dxa" w:w="2492"/>
          </w:tcPr>
          <w:p>
            <w:pPr>
              <w:pStyle w:val="null3"/>
            </w:pPr>
            <w:r>
              <w:rPr/>
              <w:t>项目团队人员配备： 根据人员总体配置情况，包括骨干的配置；人员数量、年龄、专业经验、资格/职称等情况综合赋分： [5-10分]：人员配置合理、员工经验丰富，专业性强； [2-5分）：人员配置基本满足项目需要、员工经验较为丰富； [0-2分）：人员配置方案一般，员工经验缺乏，或无本项方案。</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技术响应资料</w:t>
            </w:r>
          </w:p>
          <w:p>
            <w:pPr>
              <w:pStyle w:val="null3"/>
            </w:pPr>
            <w:r>
              <w:rPr/>
              <w:t>其他材料</w:t>
            </w:r>
          </w:p>
        </w:tc>
      </w:tr>
      <w:tr>
        <w:tc>
          <w:tcPr>
            <w:tcW w:type="dxa" w:w="831"/>
            <w:vMerge/>
          </w:tcPr>
          <w:p/>
        </w:tc>
        <w:tc>
          <w:tcPr>
            <w:tcW w:type="dxa" w:w="1661"/>
          </w:tcPr>
          <w:p>
            <w:pPr>
              <w:pStyle w:val="null3"/>
            </w:pPr>
            <w:r>
              <w:rPr/>
              <w:t>反馈渠道</w:t>
            </w:r>
          </w:p>
        </w:tc>
        <w:tc>
          <w:tcPr>
            <w:tcW w:type="dxa" w:w="2492"/>
          </w:tcPr>
          <w:p>
            <w:pPr>
              <w:pStyle w:val="null3"/>
            </w:pPr>
            <w:r>
              <w:rPr/>
              <w:t>磋商小组根据各供应商针对本项目实施中的反馈及整改方案进行打分， （3-5分]：方案中应包含本项目实施中，采购人若有意见，其意见反馈渠道（提供反馈流程）及机制； [0-3分]：未达到上述要求。</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其他材料</w:t>
            </w:r>
          </w:p>
          <w:p>
            <w:pPr>
              <w:pStyle w:val="null3"/>
            </w:pPr>
            <w:r>
              <w:rPr/>
              <w:t>技术响应资料</w:t>
            </w:r>
          </w:p>
        </w:tc>
      </w:tr>
      <w:tr>
        <w:tc>
          <w:tcPr>
            <w:tcW w:type="dxa" w:w="831"/>
            <w:vMerge/>
          </w:tcPr>
          <w:p/>
        </w:tc>
        <w:tc>
          <w:tcPr>
            <w:tcW w:type="dxa" w:w="1661"/>
          </w:tcPr>
          <w:p>
            <w:pPr>
              <w:pStyle w:val="null3"/>
            </w:pPr>
            <w:r>
              <w:rPr/>
              <w:t>售后服务及承诺</w:t>
            </w:r>
          </w:p>
        </w:tc>
        <w:tc>
          <w:tcPr>
            <w:tcW w:type="dxa" w:w="2492"/>
          </w:tcPr>
          <w:p>
            <w:pPr>
              <w:pStyle w:val="null3"/>
            </w:pPr>
            <w:r>
              <w:rPr/>
              <w:t>根据供应商针对本项目提供的售后服务进行打分： ( 5-10分]：售后服务及承诺包含遵守采购方的规章制度及管理规定，服从管理，人员培训，按国家规定向有关部门缴纳各种费用、为本项目的作业人员缴纳社会保险、工伤保险或人身意外伤害保险(以国家有关规定为准)等； [0-5分]：未达到上述要求。</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技术响应资料</w:t>
            </w:r>
          </w:p>
          <w:p>
            <w:pPr>
              <w:pStyle w:val="null3"/>
            </w:pPr>
            <w:r>
              <w:rPr/>
              <w:t>其他材料</w:t>
            </w:r>
          </w:p>
        </w:tc>
      </w:tr>
      <w:tr>
        <w:tc>
          <w:tcPr>
            <w:tcW w:type="dxa" w:w="831"/>
            <w:vMerge/>
          </w:tcPr>
          <w:p/>
        </w:tc>
        <w:tc>
          <w:tcPr>
            <w:tcW w:type="dxa" w:w="1661"/>
          </w:tcPr>
          <w:p>
            <w:pPr>
              <w:pStyle w:val="null3"/>
            </w:pPr>
            <w:r>
              <w:rPr/>
              <w:t>特色管理服务及服务优化方案</w:t>
            </w:r>
          </w:p>
        </w:tc>
        <w:tc>
          <w:tcPr>
            <w:tcW w:type="dxa" w:w="2492"/>
          </w:tcPr>
          <w:p>
            <w:pPr>
              <w:pStyle w:val="null3"/>
            </w:pPr>
            <w:r>
              <w:rPr/>
              <w:t>根据供应商针对本项目提供的特色管理服务及服务优化方案进行打分： （1）提供具有特色的管理服务思路和措施、增值服务等。［0-3分］ （2）结合本项目的现状和目前存在的问题提出合理可行的服务优化建议及实施思路。［0-2分］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其他材料</w:t>
            </w:r>
          </w:p>
          <w:p>
            <w:pPr>
              <w:pStyle w:val="null3"/>
            </w:pPr>
            <w:r>
              <w:rPr/>
              <w:t>技术响应资料</w:t>
            </w:r>
          </w:p>
        </w:tc>
      </w:tr>
      <w:tr>
        <w:tc>
          <w:tcPr>
            <w:tcW w:type="dxa" w:w="831"/>
            <w:vMerge/>
          </w:tcPr>
          <w:p/>
        </w:tc>
        <w:tc>
          <w:tcPr>
            <w:tcW w:type="dxa" w:w="1661"/>
          </w:tcPr>
          <w:p>
            <w:pPr>
              <w:pStyle w:val="null3"/>
            </w:pPr>
            <w:r>
              <w:rPr/>
              <w:t>同类业绩</w:t>
            </w:r>
          </w:p>
        </w:tc>
        <w:tc>
          <w:tcPr>
            <w:tcW w:type="dxa" w:w="2492"/>
          </w:tcPr>
          <w:p>
            <w:pPr>
              <w:pStyle w:val="null3"/>
            </w:pPr>
            <w:r>
              <w:rPr/>
              <w:t>根据供应商提供的2021年1月1日至今(以合同签订日期为准)的类似业绩赋分，每提供1份计5分，最高10分。注：提供合同复印件加盖公章。</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技术响应资料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磋商报价得分＝（评审基准价/磋商报价）×价格分值（注：满足磋商文件要求且磋商价格最低的磋商报价为评审基准价。）最低报价不是中标的唯一依据。报价超过采购预算按无效响应处理。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磋商报价函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详见附件：磋商报价函</w:t>
      </w:r>
    </w:p>
    <w:p>
      <w:pPr>
        <w:pStyle w:val="null3"/>
        <w:ind w:firstLine="960"/>
      </w:pPr>
      <w:r>
        <w:rPr/>
        <w:t>详见附件：资格证明文件</w:t>
      </w:r>
    </w:p>
    <w:p>
      <w:pPr>
        <w:pStyle w:val="null3"/>
        <w:ind w:firstLine="960"/>
      </w:pPr>
      <w:r>
        <w:rPr/>
        <w:t>详见附件：陕西省政府采购供应商拒绝政府采购领域商业贿赂承诺书</w:t>
      </w:r>
    </w:p>
    <w:p>
      <w:pPr>
        <w:pStyle w:val="null3"/>
        <w:ind w:firstLine="960"/>
      </w:pPr>
      <w:r>
        <w:rPr/>
        <w:t>详见附件：技术响应资料</w:t>
      </w:r>
    </w:p>
    <w:p>
      <w:pPr>
        <w:pStyle w:val="null3"/>
        <w:ind w:firstLine="960"/>
      </w:pPr>
      <w:r>
        <w:rPr/>
        <w:t>详见附件：其他材料</w:t>
      </w:r>
    </w:p>
    <w:p>
      <w:pPr>
        <w:pStyle w:val="null3"/>
        <w:ind w:firstLine="960"/>
      </w:pPr>
      <w:r>
        <w:rPr/>
        <w:t>详见附件：响应文件封面</w:t>
      </w:r>
    </w:p>
    <w:p>
      <w:pPr>
        <w:pStyle w:val="null3"/>
      </w:pPr>
      <w:r>
        <w:rPr/>
        <w:t xml:space="preserve"> </w:t>
      </w:r>
    </w:p>
    <w:p>
      <w:pPr>
        <w:pStyle w:val="null3"/>
        <w:jc w:val="center"/>
        <w:outlineLvl w:val="1"/>
      </w:pPr>
      <w:r>
        <w:rPr>
          <w:b/>
          <w:sz w:val="36"/>
        </w:rPr>
        <w:t>第八章 拟签订采购合同文本</w:t>
      </w:r>
    </w:p>
    <w:p>
      <w:pPr>
        <w:pStyle w:val="null3"/>
      </w:pPr>
      <w:r>
        <w:rPr/>
        <w:t>详见附件：拟签订合同文本.docx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