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教职工体检服务采购项目</w:t>
      </w:r>
    </w:p>
    <w:p>
      <w:pPr>
        <w:pStyle w:val="null3"/>
        <w:jc w:val="center"/>
        <w:outlineLvl w:val="2"/>
      </w:pPr>
      <w:r>
        <w:rPr>
          <w:b/>
          <w:sz w:val="28"/>
        </w:rPr>
        <w:t>采购项目编号：</w:t>
      </w:r>
      <w:r>
        <w:rPr>
          <w:b/>
          <w:sz w:val="28"/>
        </w:rPr>
        <w:t>ZCZX2024-CS-075</w:t>
      </w:r>
      <w:r>
        <w:br/>
      </w:r>
      <w:r>
        <w:br/>
      </w:r>
      <w:r>
        <w:br/>
      </w:r>
    </w:p>
    <w:p>
      <w:pPr>
        <w:pStyle w:val="null3"/>
        <w:jc w:val="center"/>
        <w:outlineLvl w:val="2"/>
      </w:pPr>
      <w:r>
        <w:rPr>
          <w:b/>
          <w:sz w:val="28"/>
        </w:rPr>
        <w:t>西安市曲江第一中学</w:t>
      </w:r>
    </w:p>
    <w:p>
      <w:pPr>
        <w:pStyle w:val="null3"/>
        <w:jc w:val="center"/>
        <w:outlineLvl w:val="2"/>
      </w:pPr>
      <w:r>
        <w:rPr>
          <w:b/>
          <w:sz w:val="28"/>
        </w:rPr>
        <w:t>陕西众诚致信管理咨询有限公司</w:t>
      </w:r>
      <w:r>
        <w:rPr>
          <w:b/>
          <w:sz w:val="28"/>
        </w:rPr>
        <w:t>共同编制</w:t>
      </w:r>
    </w:p>
    <w:p>
      <w:pPr>
        <w:pStyle w:val="null3"/>
        <w:jc w:val="center"/>
        <w:outlineLvl w:val="2"/>
      </w:pPr>
      <w:r>
        <w:rPr>
          <w:b/>
          <w:sz w:val="28"/>
        </w:rPr>
        <w:t>2024年05月16日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陕西众诚致信管理咨询有限公司</w:t>
      </w:r>
      <w:r>
        <w:rPr/>
        <w:t>（以下简称“代理机构”）受</w:t>
      </w:r>
      <w:r>
        <w:rPr/>
        <w:t>西安市曲江第一中学</w:t>
      </w:r>
      <w:r>
        <w:rPr/>
        <w:t>委托，拟对</w:t>
      </w:r>
      <w:r>
        <w:rPr/>
        <w:t>教职工体检服务采购项目</w:t>
      </w:r>
      <w:r>
        <w:rPr/>
        <w:t>采用竞争性磋商采购方式进行采购，兹邀请供应商参加本项目的竞争性磋商。</w:t>
      </w:r>
    </w:p>
    <w:p>
      <w:pPr>
        <w:pStyle w:val="null3"/>
        <w:outlineLvl w:val="2"/>
      </w:pPr>
      <w:r>
        <w:rPr>
          <w:b/>
          <w:sz w:val="28"/>
        </w:rPr>
        <w:t>一、项目编号：</w:t>
      </w:r>
      <w:r>
        <w:rPr>
          <w:b/>
          <w:sz w:val="28"/>
        </w:rPr>
        <w:t>ZCZX2024-CS-075</w:t>
      </w:r>
    </w:p>
    <w:p>
      <w:pPr>
        <w:pStyle w:val="null3"/>
        <w:outlineLvl w:val="2"/>
      </w:pPr>
      <w:r>
        <w:rPr>
          <w:b/>
          <w:sz w:val="28"/>
        </w:rPr>
        <w:t>二、项目名称：</w:t>
      </w:r>
      <w:r>
        <w:rPr>
          <w:b/>
          <w:sz w:val="28"/>
        </w:rPr>
        <w:t>教职工体检服务采购项目</w:t>
      </w:r>
    </w:p>
    <w:p>
      <w:pPr>
        <w:pStyle w:val="null3"/>
        <w:outlineLvl w:val="2"/>
      </w:pPr>
      <w:r>
        <w:rPr>
          <w:b/>
          <w:sz w:val="28"/>
        </w:rPr>
        <w:t>三、磋商项目简介</w:t>
      </w:r>
    </w:p>
    <w:p>
      <w:pPr>
        <w:pStyle w:val="null3"/>
        <w:ind w:firstLine="480"/>
      </w:pPr>
      <w:r>
        <w:rPr/>
        <w:t>为了体现学校对教职工的关心和关爱，维护教职工身体健康。根据教育部门每年要求组织一次教职工体检的规定，我校将参加教职工体检总人数343名，平均年龄在33岁或以下，女性占80%左右。</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授权书：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p>
      <w:pPr>
        <w:pStyle w:val="null3"/>
      </w:pPr>
      <w:r>
        <w:rPr/>
        <w:t>2、资质：供应商须为三级乙等或以上综合医院</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西安市曲江第一中学</w:t>
      </w:r>
    </w:p>
    <w:p>
      <w:pPr>
        <w:pStyle w:val="null3"/>
      </w:pPr>
      <w:r>
        <w:rPr/>
        <w:t xml:space="preserve"> 地址： </w:t>
      </w:r>
      <w:r>
        <w:rPr/>
        <w:t>曲江路396号</w:t>
      </w:r>
    </w:p>
    <w:p>
      <w:pPr>
        <w:pStyle w:val="null3"/>
      </w:pPr>
      <w:r>
        <w:rPr/>
        <w:t xml:space="preserve"> 邮编： </w:t>
      </w:r>
      <w:r>
        <w:rPr/>
        <w:t>710000</w:t>
      </w:r>
    </w:p>
    <w:p>
      <w:pPr>
        <w:pStyle w:val="null3"/>
      </w:pPr>
      <w:r>
        <w:rPr/>
        <w:t xml:space="preserve"> 联系人： </w:t>
      </w:r>
      <w:r>
        <w:rPr/>
        <w:t>宋老师</w:t>
      </w:r>
    </w:p>
    <w:p>
      <w:pPr>
        <w:pStyle w:val="null3"/>
      </w:pPr>
      <w:r>
        <w:rPr/>
        <w:t xml:space="preserve"> 联系电话： </w:t>
      </w:r>
      <w:r>
        <w:rPr/>
        <w:t>029-62889518</w:t>
      </w:r>
    </w:p>
    <w:p>
      <w:pPr>
        <w:pStyle w:val="null3"/>
        <w:outlineLvl w:val="3"/>
      </w:pPr>
      <w:r>
        <w:rPr>
          <w:b/>
          <w:sz w:val="24"/>
        </w:rPr>
        <w:t>代理机构：</w:t>
      </w:r>
      <w:r>
        <w:rPr>
          <w:b/>
          <w:sz w:val="24"/>
        </w:rPr>
        <w:t>陕西众诚致信管理咨询有限公司</w:t>
      </w:r>
    </w:p>
    <w:p>
      <w:pPr>
        <w:pStyle w:val="null3"/>
      </w:pPr>
      <w:r>
        <w:rPr/>
        <w:t xml:space="preserve"> 地址： </w:t>
      </w:r>
      <w:r>
        <w:rPr/>
        <w:t>西安曲江新区翠华南路1688号创意盒子1304室</w:t>
      </w:r>
    </w:p>
    <w:p>
      <w:pPr>
        <w:pStyle w:val="null3"/>
      </w:pPr>
      <w:r>
        <w:rPr/>
        <w:t xml:space="preserve"> 邮编： </w:t>
      </w:r>
      <w:r>
        <w:rPr/>
        <w:t>710000</w:t>
      </w:r>
    </w:p>
    <w:p>
      <w:pPr>
        <w:pStyle w:val="null3"/>
      </w:pPr>
      <w:r>
        <w:rPr/>
        <w:t xml:space="preserve"> 联系人： </w:t>
      </w:r>
      <w:r>
        <w:rPr/>
        <w:t>吴芳超 褚振</w:t>
      </w:r>
    </w:p>
    <w:p>
      <w:pPr>
        <w:pStyle w:val="null3"/>
      </w:pPr>
      <w:r>
        <w:rPr/>
        <w:t xml:space="preserve"> 联系电话： </w:t>
      </w:r>
      <w:r>
        <w:rPr/>
        <w:t>029-89565998</w:t>
      </w:r>
    </w:p>
    <w:p>
      <w:pPr>
        <w:pStyle w:val="null3"/>
        <w:outlineLvl w:val="3"/>
      </w:pPr>
      <w:r>
        <w:rPr>
          <w:b/>
          <w:sz w:val="24"/>
        </w:rPr>
        <w:t>采购监督机构：</w:t>
      </w:r>
      <w:r>
        <w:rPr>
          <w:b/>
          <w:sz w:val="24"/>
        </w:rPr>
        <w:t>西安曲江新区财政局</w:t>
      </w:r>
    </w:p>
    <w:p>
      <w:pPr>
        <w:pStyle w:val="null3"/>
        <w:ind w:firstLine="480"/>
      </w:pPr>
      <w:r>
        <w:rPr/>
        <w:t>联系人：</w:t>
      </w:r>
      <w:r>
        <w:rPr/>
        <w:t>寇雪莲</w:t>
      </w:r>
    </w:p>
    <w:p>
      <w:pPr>
        <w:pStyle w:val="null3"/>
        <w:ind w:firstLine="480"/>
      </w:pPr>
      <w:r>
        <w:rPr/>
        <w:t>联系电话：</w:t>
      </w:r>
      <w:r>
        <w:rPr/>
        <w:t>68660282</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采购包1：343,000.00元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60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2、成交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西安市曲江第一中学</w:t>
      </w:r>
      <w:r>
        <w:rPr/>
        <w:t>和</w:t>
      </w:r>
      <w:r>
        <w:rPr/>
        <w:t>陕西众诚致信管理咨询有限公司</w:t>
      </w:r>
      <w:r>
        <w:rPr/>
        <w:t>享有。对磋商文件中供应商参加本次政府采购活动应当具备的条件，磋商项目技术、服务、商务及其他要求，评审细则及标准由</w:t>
      </w:r>
      <w:r>
        <w:rPr/>
        <w:t>西安市曲江第一中学</w:t>
      </w:r>
      <w:r>
        <w:rPr/>
        <w:t>负责解释。除上述磋商文件内容，其他内容由</w:t>
      </w:r>
      <w:r>
        <w:rPr/>
        <w:t>陕西众诚致信管理咨询有限公司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西安市曲江第一中学</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陕西众诚致信管理咨询有限公司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详见合同文本</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联系人：吴芳超</w:t>
      </w:r>
    </w:p>
    <w:p>
      <w:pPr>
        <w:pStyle w:val="null3"/>
      </w:pPr>
      <w:r>
        <w:rPr/>
        <w:t>联系电话：029-89565998</w:t>
      </w:r>
    </w:p>
    <w:p>
      <w:pPr>
        <w:pStyle w:val="null3"/>
      </w:pPr>
      <w:r>
        <w:rPr/>
        <w:t>地址：西安曲江新区翠华南路1688号创意盒子1304室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为了体现学校对教职工的关心和关爱，维护教职工身体健康。根据教育部门要求组织教职工体检的规定，我校将参加教职工体检总人数343名，平均年龄在33岁或以下，女性占80%左右。</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343,000.00</w:t>
      </w:r>
    </w:p>
    <w:p>
      <w:pPr>
        <w:pStyle w:val="null3"/>
      </w:pPr>
      <w:r>
        <w:rPr/>
        <w:t>采购包最高限价（元）: 343,000.00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教职工体检服务</w:t>
            </w:r>
          </w:p>
        </w:tc>
        <w:tc>
          <w:tcPr>
            <w:tcW w:type="dxa" w:w="831"/>
          </w:tcPr>
          <w:p>
            <w:pPr>
              <w:pStyle w:val="null3"/>
              <w:jc w:val="right"/>
            </w:pPr>
            <w:r>
              <w:rPr/>
              <w:t>1.00</w:t>
            </w:r>
          </w:p>
        </w:tc>
        <w:tc>
          <w:tcPr>
            <w:tcW w:type="dxa" w:w="831"/>
          </w:tcPr>
          <w:p>
            <w:pPr>
              <w:pStyle w:val="null3"/>
              <w:jc w:val="right"/>
            </w:pPr>
            <w:r>
              <w:rPr/>
              <w:t>343,000.00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标的名称：教职工体检服务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00"/>
              <w:jc w:val="both"/>
            </w:pPr>
            <w:r>
              <w:rPr>
                <w:rFonts w:ascii="宋体" w:hAnsi="宋体" w:cs="宋体" w:eastAsia="宋体"/>
                <w:sz w:val="20"/>
              </w:rPr>
              <w:t>一、项目概况</w:t>
            </w:r>
          </w:p>
          <w:p>
            <w:pPr>
              <w:pStyle w:val="null3"/>
              <w:ind w:firstLine="400"/>
              <w:jc w:val="both"/>
            </w:pPr>
            <w:r>
              <w:rPr>
                <w:rFonts w:ascii="宋体" w:hAnsi="宋体" w:cs="宋体" w:eastAsia="宋体"/>
                <w:sz w:val="20"/>
              </w:rPr>
              <w:t>为了体现学校对教职工的关心和关爱，维护教职工身体健康。根据教育部门每年要求组织一次教职工体检的规定，我校将参加教职工体检总人数343名，平均年龄在33岁或以下，女性占80%左右。</w:t>
            </w:r>
          </w:p>
          <w:p>
            <w:pPr>
              <w:pStyle w:val="null3"/>
              <w:ind w:firstLine="400"/>
              <w:jc w:val="both"/>
            </w:pPr>
            <w:r>
              <w:rPr>
                <w:rFonts w:ascii="宋体" w:hAnsi="宋体" w:cs="宋体" w:eastAsia="宋体"/>
                <w:sz w:val="20"/>
              </w:rPr>
              <w:t>二、服务内容</w:t>
            </w:r>
          </w:p>
          <w:p>
            <w:pPr>
              <w:pStyle w:val="null3"/>
              <w:ind w:firstLine="400"/>
              <w:jc w:val="both"/>
            </w:pPr>
            <w:r>
              <w:rPr>
                <w:rFonts w:ascii="宋体" w:hAnsi="宋体" w:cs="宋体" w:eastAsia="宋体"/>
                <w:sz w:val="20"/>
              </w:rPr>
              <w:t>具体包括：建立健康档案、一般检查（血压、身高、体重）、内科检查、外科检查 、眼科（视力辨色力、眼压、眼底照相、裂隙灯、人工智能视网膜筛查）、血常规、尿常规、肝功十项、乙肝五项定性、肾功四项、空腹血糖、血脂四项、心电图、颈椎正侧位片、甲状腺彩超、经颅多普勒、胸部CT、腹部+盆腔B超（彩色）、肿瘤普查、C14呼气试验、女性妇科检查、宫颈TCT（已婚女性）、乳腺检查等。</w:t>
            </w:r>
          </w:p>
          <w:p>
            <w:pPr>
              <w:pStyle w:val="null3"/>
              <w:ind w:firstLine="400"/>
              <w:jc w:val="both"/>
            </w:pPr>
            <w:r>
              <w:rPr>
                <w:rFonts w:ascii="宋体" w:hAnsi="宋体" w:cs="宋体" w:eastAsia="宋体"/>
                <w:sz w:val="20"/>
              </w:rPr>
              <w:t>三、服务要求</w:t>
            </w:r>
          </w:p>
          <w:p>
            <w:pPr>
              <w:pStyle w:val="null3"/>
              <w:ind w:firstLine="400"/>
              <w:jc w:val="both"/>
            </w:pPr>
            <w:r>
              <w:rPr>
                <w:rFonts w:ascii="宋体" w:hAnsi="宋体" w:cs="宋体" w:eastAsia="宋体"/>
                <w:sz w:val="20"/>
              </w:rPr>
              <w:t>1.</w:t>
            </w:r>
            <w:r>
              <w:rPr>
                <w:rFonts w:ascii="宋体" w:hAnsi="宋体" w:cs="宋体" w:eastAsia="宋体"/>
                <w:sz w:val="20"/>
              </w:rPr>
              <w:t>体检单位具有卫生行政部门核准的相关资质。拥有先进的医疗资源和体检设备。</w:t>
            </w:r>
          </w:p>
          <w:p>
            <w:pPr>
              <w:pStyle w:val="null3"/>
              <w:ind w:firstLine="400"/>
              <w:jc w:val="both"/>
            </w:pPr>
            <w:r>
              <w:rPr>
                <w:rFonts w:ascii="宋体" w:hAnsi="宋体" w:cs="宋体" w:eastAsia="宋体"/>
                <w:sz w:val="20"/>
              </w:rPr>
              <w:t>2.</w:t>
            </w:r>
            <w:r>
              <w:rPr>
                <w:rFonts w:ascii="宋体" w:hAnsi="宋体" w:cs="宋体" w:eastAsia="宋体"/>
                <w:sz w:val="20"/>
              </w:rPr>
              <w:t>体检地点为体检医疗机构指定的唯一服务点，交通便捷，环境良好。未经采购人允许，不许调配采购人体检人员到体检医疗机构旗下的其他分院或其他分支机构进行体检。</w:t>
            </w:r>
          </w:p>
          <w:p>
            <w:pPr>
              <w:pStyle w:val="null3"/>
              <w:ind w:firstLine="400"/>
              <w:jc w:val="both"/>
            </w:pPr>
            <w:r>
              <w:rPr>
                <w:rFonts w:ascii="宋体" w:hAnsi="宋体" w:cs="宋体" w:eastAsia="宋体"/>
                <w:sz w:val="20"/>
              </w:rPr>
              <w:t>3.</w:t>
            </w:r>
            <w:r>
              <w:rPr>
                <w:rFonts w:ascii="宋体" w:hAnsi="宋体" w:cs="宋体" w:eastAsia="宋体"/>
                <w:sz w:val="20"/>
              </w:rPr>
              <w:t>针对教师职业特征、性别、年龄段及教职工以往体检数据分析，对眼科、甲状腺疾病、颈椎疾病、心血管疾病、妇科疾病等项目有较高的关注度，分别列出详细的体检项目及内容。（见附件1）体检单位可适当赠送一定的体检项目及服务。</w:t>
            </w:r>
          </w:p>
          <w:p>
            <w:pPr>
              <w:pStyle w:val="null3"/>
              <w:ind w:firstLine="400"/>
              <w:jc w:val="both"/>
            </w:pPr>
            <w:r>
              <w:rPr>
                <w:rFonts w:ascii="宋体" w:hAnsi="宋体" w:cs="宋体" w:eastAsia="宋体"/>
                <w:sz w:val="20"/>
              </w:rPr>
              <w:t>4.</w:t>
            </w:r>
            <w:r>
              <w:rPr>
                <w:rFonts w:ascii="宋体" w:hAnsi="宋体" w:cs="宋体" w:eastAsia="宋体"/>
                <w:sz w:val="20"/>
              </w:rPr>
              <w:t>体检单位应具有相应的体检信息管理系统可进行体检预约和体检信息综合管理，建立体检人员电子健康档案。</w:t>
            </w:r>
          </w:p>
          <w:p>
            <w:pPr>
              <w:pStyle w:val="null3"/>
              <w:ind w:firstLine="400"/>
              <w:jc w:val="both"/>
            </w:pPr>
            <w:r>
              <w:rPr>
                <w:rFonts w:ascii="宋体" w:hAnsi="宋体" w:cs="宋体" w:eastAsia="宋体"/>
                <w:sz w:val="20"/>
              </w:rPr>
              <w:t>5.</w:t>
            </w:r>
            <w:r>
              <w:rPr>
                <w:rFonts w:ascii="宋体" w:hAnsi="宋体" w:cs="宋体" w:eastAsia="宋体"/>
                <w:sz w:val="20"/>
              </w:rPr>
              <w:t>体检单位应在体检结束后15日内，向用户方提交体检报告，体检报告须进行密封，体检结束30日内向用户单位提供所查人员的疾患名单和疾病汇总分析，由体检单位进行一次上门体检报告解析答疑，提出参考和建议。</w:t>
            </w:r>
          </w:p>
          <w:p>
            <w:pPr>
              <w:pStyle w:val="null3"/>
              <w:ind w:firstLine="400"/>
              <w:jc w:val="both"/>
            </w:pPr>
            <w:r>
              <w:rPr>
                <w:rFonts w:ascii="宋体" w:hAnsi="宋体" w:cs="宋体" w:eastAsia="宋体"/>
                <w:sz w:val="20"/>
              </w:rPr>
              <w:t>6.</w:t>
            </w:r>
            <w:r>
              <w:rPr>
                <w:rFonts w:ascii="宋体" w:hAnsi="宋体" w:cs="宋体" w:eastAsia="宋体"/>
                <w:sz w:val="20"/>
              </w:rPr>
              <w:t>体检单位应提前告知特殊体检项目的详细要求和注意事项，为体检教职工提供“体检温馨提示”一份，以便指导体检顺利进行。</w:t>
            </w:r>
          </w:p>
          <w:p>
            <w:pPr>
              <w:pStyle w:val="null3"/>
              <w:ind w:firstLine="400"/>
              <w:jc w:val="both"/>
            </w:pPr>
            <w:r>
              <w:rPr>
                <w:rFonts w:ascii="simsun" w:hAnsi="simsun" w:cs="simsun" w:eastAsia="simsun"/>
                <w:sz w:val="18"/>
              </w:rPr>
              <w:t>7.本次体检暂定人数分别为：</w:t>
            </w:r>
            <w:r>
              <w:rPr>
                <w:rFonts w:ascii="simsun" w:hAnsi="simsun" w:cs="simsun" w:eastAsia="simsun"/>
                <w:sz w:val="18"/>
              </w:rPr>
              <w:t>男性：93人；已婚女性：160人；未婚女性：90人，最终以实际体检人数据实结算。</w:t>
            </w:r>
          </w:p>
          <w:p>
            <w:pPr>
              <w:pStyle w:val="null3"/>
              <w:jc w:val="both"/>
            </w:pPr>
            <w:r>
              <w:rPr>
                <w:rFonts w:ascii="宋体" w:hAnsi="宋体" w:cs="宋体" w:eastAsia="宋体"/>
                <w:b/>
                <w:sz w:val="20"/>
              </w:rPr>
              <w:t>附件1 ：体检项目及内容</w:t>
            </w:r>
          </w:p>
          <w:tbl>
            <w:tblPr>
              <w:tblBorders>
                <w:top w:val="single"/>
                <w:left w:val="single"/>
                <w:bottom w:val="single"/>
                <w:right w:val="single"/>
                <w:insideH w:val="single"/>
                <w:insideV w:val="single"/>
              </w:tblBorders>
            </w:tblPr>
            <w:tblGrid>
              <w:gridCol w:w="323"/>
              <w:gridCol w:w="1408"/>
              <w:gridCol w:w="300"/>
              <w:gridCol w:w="259"/>
              <w:gridCol w:w="259"/>
            </w:tblGrid>
            <w:tr>
              <w:tc>
                <w:tcPr>
                  <w:tcW w:type="dxa" w:w="323"/>
                  <w:vMerge w:val="restart"/>
                  <w:tcBorders>
                    <w:top w:val="single" w:color="000000" w:sz="4"/>
                    <w:left w:val="single" w:color="000000" w:sz="4"/>
                    <w:bottom w:val="single" w:color="000000" w:sz="4"/>
                    <w:right w:val="single" w:color="000000" w:sz="4"/>
                  </w:tcBorders>
                  <w:shd w:fill="FFFFFF"/>
                  <w:tcMar>
                    <w:top w:type="dxa" w:w="0"/>
                    <w:left w:type="dxa" w:w="30"/>
                    <w:bottom w:type="dxa" w:w="0"/>
                    <w:right w:type="dxa" w:w="30"/>
                  </w:tcMar>
                </w:tcPr>
                <w:p>
                  <w:pPr>
                    <w:pStyle w:val="null3"/>
                    <w:jc w:val="center"/>
                  </w:pPr>
                  <w:r>
                    <w:rPr>
                      <w:rFonts w:ascii="宋体" w:hAnsi="宋体" w:cs="宋体" w:eastAsia="宋体"/>
                      <w:b/>
                      <w:color w:val="000000"/>
                      <w:sz w:val="20"/>
                    </w:rPr>
                    <w:t>序号</w:t>
                  </w:r>
                </w:p>
              </w:tc>
              <w:tc>
                <w:tcPr>
                  <w:tcW w:type="dxa" w:w="1408"/>
                  <w:vMerge w:val="restart"/>
                  <w:tcBorders>
                    <w:top w:val="single" w:color="000000" w:sz="4"/>
                    <w:left w:val="none" w:color="000000" w:sz="4"/>
                    <w:bottom w:val="single" w:color="000000" w:sz="4"/>
                    <w:right w:val="single" w:color="000000" w:sz="4"/>
                  </w:tcBorders>
                  <w:shd w:fill="FFFFFF"/>
                  <w:tcMar>
                    <w:top w:type="dxa" w:w="0"/>
                    <w:left w:type="dxa" w:w="30"/>
                    <w:bottom w:type="dxa" w:w="0"/>
                    <w:right w:type="dxa" w:w="30"/>
                  </w:tcMar>
                </w:tcPr>
                <w:p>
                  <w:pPr>
                    <w:pStyle w:val="null3"/>
                    <w:jc w:val="center"/>
                  </w:pPr>
                  <w:r>
                    <w:rPr>
                      <w:rFonts w:ascii="宋体" w:hAnsi="宋体" w:cs="宋体" w:eastAsia="宋体"/>
                      <w:b/>
                      <w:color w:val="000000"/>
                      <w:sz w:val="20"/>
                    </w:rPr>
                    <w:t>项  目</w:t>
                  </w:r>
                </w:p>
              </w:tc>
              <w:tc>
                <w:tcPr>
                  <w:tcW w:type="dxa" w:w="300"/>
                  <w:vMerge w:val="restart"/>
                  <w:tcBorders>
                    <w:top w:val="single" w:color="000000" w:sz="4"/>
                    <w:left w:val="none" w:color="000000" w:sz="4"/>
                    <w:bottom w:val="single" w:color="000000" w:sz="4"/>
                    <w:right w:val="single" w:color="000000" w:sz="4"/>
                  </w:tcBorders>
                  <w:shd w:fill="FFFFFF"/>
                  <w:tcMar>
                    <w:top w:type="dxa" w:w="0"/>
                    <w:left w:type="dxa" w:w="30"/>
                    <w:bottom w:type="dxa" w:w="0"/>
                    <w:right w:type="dxa" w:w="30"/>
                  </w:tcMar>
                </w:tcPr>
                <w:p>
                  <w:pPr>
                    <w:pStyle w:val="null3"/>
                    <w:jc w:val="center"/>
                  </w:pPr>
                  <w:r>
                    <w:rPr>
                      <w:rFonts w:ascii="宋体" w:hAnsi="宋体" w:cs="宋体" w:eastAsia="宋体"/>
                      <w:b/>
                      <w:color w:val="000000"/>
                      <w:sz w:val="20"/>
                    </w:rPr>
                    <w:t>男</w:t>
                  </w:r>
                </w:p>
              </w:tc>
              <w:tc>
                <w:tcPr>
                  <w:tcW w:type="dxa" w:w="518"/>
                  <w:gridSpan w:val="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宋体" w:hAnsi="宋体" w:cs="宋体" w:eastAsia="宋体"/>
                      <w:b/>
                      <w:color w:val="000000"/>
                      <w:sz w:val="20"/>
                    </w:rPr>
                    <w:t>女</w:t>
                  </w:r>
                </w:p>
              </w:tc>
            </w:tr>
            <w:tr>
              <w:tc>
                <w:tcPr>
                  <w:tcW w:type="dxa" w:w="323"/>
                  <w:vMerge/>
                  <w:tcBorders>
                    <w:top w:val="single" w:color="000000" w:sz="4"/>
                    <w:left w:val="single" w:color="000000" w:sz="4"/>
                    <w:bottom w:val="single" w:color="000000" w:sz="4"/>
                    <w:right w:val="single" w:color="000000" w:sz="4"/>
                  </w:tcBorders>
                </w:tcPr>
                <w:p/>
              </w:tc>
              <w:tc>
                <w:tcPr>
                  <w:tcW w:type="dxa" w:w="1408"/>
                  <w:vMerge/>
                  <w:tcBorders>
                    <w:top w:val="single" w:color="000000" w:sz="4"/>
                    <w:left w:val="none" w:color="000000" w:sz="4"/>
                    <w:bottom w:val="single" w:color="000000" w:sz="4"/>
                    <w:right w:val="single" w:color="000000" w:sz="4"/>
                  </w:tcBorders>
                </w:tcPr>
                <w:p/>
              </w:tc>
              <w:tc>
                <w:tcPr>
                  <w:tcW w:type="dxa" w:w="300"/>
                  <w:vMerge/>
                  <w:tcBorders>
                    <w:top w:val="single" w:color="000000" w:sz="4"/>
                    <w:left w:val="none" w:color="000000" w:sz="4"/>
                    <w:bottom w:val="single" w:color="000000" w:sz="4"/>
                    <w:right w:val="single" w:color="000000" w:sz="4"/>
                  </w:tcBorders>
                </w:tcPr>
                <w:p/>
              </w:tc>
              <w:tc>
                <w:tcPr>
                  <w:tcW w:type="dxa" w:w="259"/>
                  <w:tcBorders>
                    <w:top w:val="none" w:color="000000" w:sz="4"/>
                    <w:left w:val="none" w:color="000000" w:sz="4"/>
                    <w:bottom w:val="single" w:color="000000" w:sz="4"/>
                    <w:right w:val="single" w:color="000000" w:sz="4"/>
                  </w:tcBorders>
                  <w:shd w:fill="FFFFFF"/>
                  <w:tcMar>
                    <w:top w:type="dxa" w:w="0"/>
                    <w:left w:type="dxa" w:w="30"/>
                    <w:bottom w:type="dxa" w:w="0"/>
                    <w:right w:type="dxa" w:w="30"/>
                  </w:tcMar>
                  <w:vAlign w:val="top"/>
                </w:tcPr>
                <w:p>
                  <w:pPr>
                    <w:pStyle w:val="null3"/>
                    <w:jc w:val="center"/>
                  </w:pPr>
                  <w:r>
                    <w:rPr>
                      <w:rFonts w:ascii="宋体" w:hAnsi="宋体" w:cs="宋体" w:eastAsia="宋体"/>
                      <w:b/>
                      <w:color w:val="000000"/>
                      <w:sz w:val="20"/>
                    </w:rPr>
                    <w:t>未婚</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宋体" w:hAnsi="宋体" w:cs="宋体" w:eastAsia="宋体"/>
                      <w:b/>
                      <w:color w:val="000000"/>
                      <w:sz w:val="20"/>
                    </w:rPr>
                    <w:t>已婚</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建立健康档案</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2</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一般检查（血压、身高、体重）</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3</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内科、外科</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4</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眼科（视力辨色力、眼压、眼底照相、裂隙灯、人工智能视网膜筛查）</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5</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血常规</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6</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尿常规</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7</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肝功十项</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8</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乙肝五项</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9</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空腹血糖</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10</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血脂四项</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11</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肾功四项</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12</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甲功五项</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13</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肿瘤普查：甲胎蛋白（AFP）定量、癌胚抗原（CEA）定量</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14</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幽门螺旋杆菌 C14检测</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15</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胸部CT</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16</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颈椎正侧位片</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17</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心电图</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18</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甲状腺彩超</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19</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经颅多普勒</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20</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both"/>
                  </w:pPr>
                  <w:r>
                    <w:rPr>
                      <w:rFonts w:ascii="宋体" w:hAnsi="宋体" w:cs="宋体" w:eastAsia="宋体"/>
                      <w:color w:val="000000"/>
                      <w:sz w:val="20"/>
                    </w:rPr>
                    <w:t>腹部彩超（男性）(肝、胆、脾、胰、双肾、前列腺、输尿管、膀胱)</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21</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腹部彩超（女性）(肝、胆、脾、胰、双肾、子宫、附件、输尿管膀胱）</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22</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乳腺彩超（女性）</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23</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妇科常规检查</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323"/>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24</w:t>
                  </w:r>
                </w:p>
              </w:tc>
              <w:tc>
                <w:tcPr>
                  <w:tcW w:type="dxa" w:w="140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left"/>
                  </w:pPr>
                  <w:r>
                    <w:rPr>
                      <w:rFonts w:ascii="宋体" w:hAnsi="宋体" w:cs="宋体" w:eastAsia="宋体"/>
                      <w:color w:val="000000"/>
                      <w:sz w:val="20"/>
                    </w:rPr>
                    <w:t>宫颈液基细胞学检测TCT（已婚女性）</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w:t>
                  </w:r>
                </w:p>
              </w:tc>
            </w:tr>
            <w:tr>
              <w:tc>
                <w:tcPr>
                  <w:tcW w:type="dxa" w:w="1731"/>
                  <w:gridSpan w:val="2"/>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最高限价（元/人）</w:t>
                  </w:r>
                </w:p>
              </w:tc>
              <w:tc>
                <w:tcPr>
                  <w:tcW w:type="dxa" w:w="300"/>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1000</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1000</w:t>
                  </w:r>
                </w:p>
              </w:tc>
              <w:tc>
                <w:tcPr>
                  <w:tcW w:type="dxa" w:w="25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rFonts w:ascii="宋体" w:hAnsi="宋体" w:cs="宋体" w:eastAsia="宋体"/>
                      <w:color w:val="000000"/>
                      <w:sz w:val="20"/>
                    </w:rPr>
                    <w:t>1000</w:t>
                  </w:r>
                </w:p>
              </w:tc>
            </w:tr>
          </w:tbl>
          <w:p/>
        </w:tc>
      </w:tr>
    </w:tbl>
    <w:p>
      <w:pPr>
        <w:pStyle w:val="null3"/>
        <w:outlineLvl w:val="2"/>
      </w:pPr>
      <w:r>
        <w:rPr>
          <w:b/>
          <w:sz w:val="28"/>
        </w:rPr>
        <w:t>3.2.3人员配置要求</w:t>
      </w:r>
    </w:p>
    <w:p>
      <w:pPr>
        <w:pStyle w:val="null3"/>
      </w:pPr>
      <w:r>
        <w:rPr/>
        <w:t>采购包1：</w:t>
      </w:r>
    </w:p>
    <w:p>
      <w:pPr>
        <w:pStyle w:val="null3"/>
      </w:pPr>
      <w:r>
        <w:rPr/>
        <w:t>/</w:t>
      </w:r>
    </w:p>
    <w:p>
      <w:pPr>
        <w:pStyle w:val="null3"/>
        <w:outlineLvl w:val="2"/>
      </w:pPr>
      <w:r>
        <w:rPr>
          <w:b/>
          <w:sz w:val="28"/>
        </w:rPr>
        <w:t>3.2.4设施设备要求</w:t>
      </w:r>
    </w:p>
    <w:p>
      <w:pPr>
        <w:pStyle w:val="null3"/>
      </w:pPr>
      <w:r>
        <w:rPr/>
        <w:t>采购包1：</w:t>
      </w:r>
    </w:p>
    <w:p>
      <w:pPr>
        <w:pStyle w:val="null3"/>
      </w:pPr>
      <w:r>
        <w:rPr/>
        <w:t>/</w:t>
      </w:r>
    </w:p>
    <w:p>
      <w:pPr>
        <w:pStyle w:val="null3"/>
        <w:outlineLvl w:val="2"/>
      </w:pPr>
      <w:r>
        <w:rPr>
          <w:b/>
          <w:sz w:val="28"/>
        </w:rPr>
        <w:t>3.2.5其他要求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合同签订后6个月内</w:t>
      </w:r>
    </w:p>
    <w:p>
      <w:pPr>
        <w:pStyle w:val="null3"/>
        <w:outlineLvl w:val="3"/>
      </w:pPr>
      <w:r>
        <w:rPr>
          <w:b/>
          <w:sz w:val="24"/>
        </w:rPr>
        <w:t>3.3.2服务地点</w:t>
      </w:r>
    </w:p>
    <w:p>
      <w:pPr>
        <w:pStyle w:val="null3"/>
      </w:pPr>
      <w:r>
        <w:rPr/>
        <w:t>采购包1：</w:t>
      </w:r>
    </w:p>
    <w:p>
      <w:pPr>
        <w:pStyle w:val="null3"/>
      </w:pPr>
      <w:r>
        <w:rPr/>
        <w:t>供应商磋商医院</w:t>
      </w:r>
    </w:p>
    <w:p>
      <w:pPr>
        <w:pStyle w:val="null3"/>
        <w:outlineLvl w:val="3"/>
      </w:pPr>
      <w:r>
        <w:rPr>
          <w:b/>
          <w:sz w:val="24"/>
        </w:rPr>
        <w:t>3.3.3考核（验收）标准和方法</w:t>
      </w:r>
    </w:p>
    <w:p>
      <w:pPr>
        <w:pStyle w:val="null3"/>
      </w:pPr>
      <w:r>
        <w:rPr/>
        <w:t>采购包1：</w:t>
      </w:r>
    </w:p>
    <w:p>
      <w:pPr>
        <w:pStyle w:val="null3"/>
      </w:pPr>
      <w:r>
        <w:rPr/>
        <w:t>所有人员体检完成并交付体检报告</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体检服务完成或达到合同履行期限</w:t>
      </w:r>
      <w:r>
        <w:rPr/>
        <w:t xml:space="preserve"> ，达到付款条件起 </w:t>
      </w:r>
      <w:r>
        <w:rPr/>
        <w:t>30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详见合同文本</w:t>
      </w:r>
    </w:p>
    <w:p>
      <w:pPr>
        <w:pStyle w:val="null3"/>
        <w:outlineLvl w:val="2"/>
      </w:pPr>
      <w:r>
        <w:rPr>
          <w:b/>
          <w:sz w:val="28"/>
        </w:rPr>
        <w:t>3.4其他要求</w:t>
      </w:r>
    </w:p>
    <w:p>
      <w:pPr>
        <w:pStyle w:val="null3"/>
      </w:pPr>
      <w:r>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2、磋商时无需提供纸质响应文件， 成交供应商在领取中标通知书时提供纸质响应文件两份，纸质版文件须是电子化交易平台系统生成的响应文件。</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2、具有良好的商业信誉和健全的财务会计制度（供应商应提供2022年或2023年经审计的财务报告或银行出具的资信证明）；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具有良好的商业信誉和健全的财务会计制度（供应商应提供2022年或2023年经审计的财务报告或银行出具的资信证明）</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供应商承诺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授权书</w:t>
            </w:r>
          </w:p>
        </w:tc>
        <w:tc>
          <w:tcPr>
            <w:tcW w:type="dxa" w:w="3322"/>
          </w:tcPr>
          <w:p>
            <w:pPr>
              <w:pStyle w:val="null3"/>
            </w:pPr>
            <w:r>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资质</w:t>
            </w:r>
          </w:p>
        </w:tc>
        <w:tc>
          <w:tcPr>
            <w:tcW w:type="dxa" w:w="3322"/>
          </w:tcPr>
          <w:p>
            <w:pPr>
              <w:pStyle w:val="null3"/>
            </w:pPr>
            <w:r>
              <w:rPr/>
              <w:t>供应商须为三级乙等或以上综合医院</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明显低于其他通过符合性供应商的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t>标的清单 报价表 首次响应报价明细表</w:t>
            </w:r>
          </w:p>
        </w:tc>
      </w:tr>
      <w:tr>
        <w:tc>
          <w:tcPr>
            <w:tcW w:type="dxa" w:w="831"/>
          </w:tcPr>
          <w:p>
            <w:pPr>
              <w:pStyle w:val="null3"/>
            </w:pPr>
            <w:r>
              <w:rPr/>
              <w:t>2</w:t>
            </w:r>
          </w:p>
        </w:tc>
        <w:tc>
          <w:tcPr>
            <w:tcW w:type="dxa" w:w="2492"/>
          </w:tcPr>
          <w:p>
            <w:pPr>
              <w:pStyle w:val="null3"/>
            </w:pPr>
            <w:r>
              <w:rPr/>
              <w:t>盖章</w:t>
            </w:r>
          </w:p>
        </w:tc>
        <w:tc>
          <w:tcPr>
            <w:tcW w:type="dxa" w:w="3322"/>
          </w:tcPr>
          <w:p>
            <w:pPr>
              <w:pStyle w:val="null3"/>
            </w:pPr>
            <w:r>
              <w:rPr/>
              <w:t>磋商响应文件加盖供应商单位公章</w:t>
            </w:r>
          </w:p>
        </w:tc>
        <w:tc>
          <w:tcPr>
            <w:tcW w:type="dxa" w:w="1661"/>
          </w:tcPr>
          <w:p>
            <w:pPr>
              <w:pStyle w:val="null3"/>
            </w:pPr>
            <w:r>
              <w:rPr/>
              <w:t>响应文件封面</w:t>
            </w:r>
          </w:p>
        </w:tc>
      </w:tr>
      <w:tr>
        <w:tc>
          <w:tcPr>
            <w:tcW w:type="dxa" w:w="831"/>
          </w:tcPr>
          <w:p>
            <w:pPr>
              <w:pStyle w:val="null3"/>
            </w:pPr>
            <w:r>
              <w:rPr/>
              <w:t>3</w:t>
            </w:r>
          </w:p>
        </w:tc>
        <w:tc>
          <w:tcPr>
            <w:tcW w:type="dxa" w:w="2492"/>
          </w:tcPr>
          <w:p>
            <w:pPr>
              <w:pStyle w:val="null3"/>
            </w:pPr>
            <w:r>
              <w:rPr/>
              <w:t>签字</w:t>
            </w:r>
          </w:p>
        </w:tc>
        <w:tc>
          <w:tcPr>
            <w:tcW w:type="dxa" w:w="3322"/>
          </w:tcPr>
          <w:p>
            <w:pPr>
              <w:pStyle w:val="null3"/>
            </w:pPr>
            <w:r>
              <w:rPr/>
              <w:t>磋商响应文件按磋商文件要求法定代表人（或负责人）或其授权代表签字</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有效期</w:t>
            </w:r>
          </w:p>
        </w:tc>
        <w:tc>
          <w:tcPr>
            <w:tcW w:type="dxa" w:w="3322"/>
          </w:tcPr>
          <w:p>
            <w:pPr>
              <w:pStyle w:val="null3"/>
            </w:pPr>
            <w:r>
              <w:rPr/>
              <w:t>有效期达到磋商文件的要求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选择性报价</w:t>
            </w:r>
          </w:p>
        </w:tc>
        <w:tc>
          <w:tcPr>
            <w:tcW w:type="dxa" w:w="3322"/>
          </w:tcPr>
          <w:p>
            <w:pPr>
              <w:pStyle w:val="null3"/>
            </w:pPr>
            <w:r>
              <w:rPr/>
              <w:t>供应商磋商报价未出现选择性报价</w:t>
            </w:r>
          </w:p>
        </w:tc>
        <w:tc>
          <w:tcPr>
            <w:tcW w:type="dxa" w:w="1661"/>
          </w:tcPr>
          <w:p>
            <w:pPr>
              <w:pStyle w:val="null3"/>
            </w:pPr>
            <w:r>
              <w:rPr/>
              <w:t>标的清单 报价表 首次响应报价明细表</w:t>
            </w:r>
          </w:p>
        </w:tc>
      </w:tr>
      <w:tr>
        <w:tc>
          <w:tcPr>
            <w:tcW w:type="dxa" w:w="831"/>
          </w:tcPr>
          <w:p>
            <w:pPr>
              <w:pStyle w:val="null3"/>
            </w:pPr>
            <w:r>
              <w:rPr/>
              <w:t>6</w:t>
            </w:r>
          </w:p>
        </w:tc>
        <w:tc>
          <w:tcPr>
            <w:tcW w:type="dxa" w:w="2492"/>
          </w:tcPr>
          <w:p>
            <w:pPr>
              <w:pStyle w:val="null3"/>
            </w:pPr>
            <w:r>
              <w:rPr/>
              <w:t>报价超出采购预算或最高限价</w:t>
            </w:r>
          </w:p>
        </w:tc>
        <w:tc>
          <w:tcPr>
            <w:tcW w:type="dxa" w:w="3322"/>
          </w:tcPr>
          <w:p>
            <w:pPr>
              <w:pStyle w:val="null3"/>
            </w:pPr>
            <w:r>
              <w:rPr/>
              <w:t>磋商报价未超出采购预算或最高限价</w:t>
            </w:r>
          </w:p>
        </w:tc>
        <w:tc>
          <w:tcPr>
            <w:tcW w:type="dxa" w:w="1661"/>
          </w:tcPr>
          <w:p>
            <w:pPr>
              <w:pStyle w:val="null3"/>
            </w:pPr>
            <w:r>
              <w:rPr/>
              <w:t>标的清单 报价表 首次响应报价明细表</w:t>
            </w:r>
          </w:p>
        </w:tc>
      </w:tr>
      <w:tr>
        <w:tc>
          <w:tcPr>
            <w:tcW w:type="dxa" w:w="831"/>
          </w:tcPr>
          <w:p>
            <w:pPr>
              <w:pStyle w:val="null3"/>
            </w:pPr>
            <w:r>
              <w:rPr/>
              <w:t>7</w:t>
            </w:r>
          </w:p>
        </w:tc>
        <w:tc>
          <w:tcPr>
            <w:tcW w:type="dxa" w:w="2492"/>
          </w:tcPr>
          <w:p>
            <w:pPr>
              <w:pStyle w:val="null3"/>
            </w:pPr>
            <w:r>
              <w:rPr/>
              <w:t>响应文件中技术、服务内容达不到采购要求，出现重大负偏差，降低了服务要求</w:t>
            </w:r>
          </w:p>
        </w:tc>
        <w:tc>
          <w:tcPr>
            <w:tcW w:type="dxa" w:w="3322"/>
          </w:tcPr>
          <w:p>
            <w:pPr>
              <w:pStyle w:val="null3"/>
            </w:pPr>
            <w:r>
              <w:rPr/>
              <w:t>技术、服务内容达到采购要求，未出现重大负偏差，未降低了服务要求</w:t>
            </w:r>
          </w:p>
        </w:tc>
        <w:tc>
          <w:tcPr>
            <w:tcW w:type="dxa" w:w="1661"/>
          </w:tcPr>
          <w:p>
            <w:pPr>
              <w:pStyle w:val="null3"/>
            </w:pPr>
            <w:r>
              <w:rPr/>
              <w:t>采购需求偏离表</w:t>
            </w:r>
          </w:p>
        </w:tc>
      </w:tr>
      <w:tr>
        <w:tc>
          <w:tcPr>
            <w:tcW w:type="dxa" w:w="831"/>
          </w:tcPr>
          <w:p>
            <w:pPr>
              <w:pStyle w:val="null3"/>
            </w:pPr>
            <w:r>
              <w:rPr/>
              <w:t>8</w:t>
            </w:r>
          </w:p>
        </w:tc>
        <w:tc>
          <w:tcPr>
            <w:tcW w:type="dxa" w:w="2492"/>
          </w:tcPr>
          <w:p>
            <w:pPr>
              <w:pStyle w:val="null3"/>
            </w:pPr>
            <w:r>
              <w:rPr/>
              <w:t>响应文件中附加了采购人难以接受的条件</w:t>
            </w:r>
          </w:p>
        </w:tc>
        <w:tc>
          <w:tcPr>
            <w:tcW w:type="dxa" w:w="3322"/>
          </w:tcPr>
          <w:p>
            <w:pPr>
              <w:pStyle w:val="null3"/>
            </w:pPr>
            <w:r>
              <w:rPr/>
              <w:t>响应文件中未附加采购人难以接受的条件</w:t>
            </w:r>
          </w:p>
        </w:tc>
        <w:tc>
          <w:tcPr>
            <w:tcW w:type="dxa" w:w="1661"/>
          </w:tcPr>
          <w:p>
            <w:pPr>
              <w:pStyle w:val="null3"/>
            </w:pPr>
            <w:r>
              <w:rPr/>
              <w:t>商务要求（合同草案条款）偏离表</w:t>
            </w:r>
          </w:p>
        </w:tc>
      </w:tr>
      <w:tr>
        <w:tc>
          <w:tcPr>
            <w:tcW w:type="dxa" w:w="831"/>
          </w:tcPr>
          <w:p>
            <w:pPr>
              <w:pStyle w:val="null3"/>
            </w:pPr>
            <w:r>
              <w:rPr/>
              <w:t>9</w:t>
            </w:r>
          </w:p>
        </w:tc>
        <w:tc>
          <w:tcPr>
            <w:tcW w:type="dxa" w:w="2492"/>
          </w:tcPr>
          <w:p>
            <w:pPr>
              <w:pStyle w:val="null3"/>
            </w:pPr>
            <w:r>
              <w:rPr/>
              <w:t>信用查询</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响应文件封面</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1.供应商需对项目的需求分析，体检机构接待能力及相关介绍，按其响应程度计0～5分。 2.具有独立的体检中心或场所，避免受检者和患者共检，按其响应程度计0～5分。 3.体检地点布局的合理性及便捷性，按其响应程度计0～5分。 4.根据供应商体检流程、体检时间安排安排周密，体检总体服务方案完善，按其响应程度计0～5分。 5.体检流程图清晰易懂，导诊措施能实现体检的方便快捷、高效有序，按其响应程度计0～5分。 6.医院（体检机构）内部管理制度完善，按其响应程度计0～5分。 7.根据学校教职工体检时间和批次，供应商提供车辆接送服务方案，按其响应程度计0～5分。 8.组织实施方案完善合理，保证的体检质量准确性和及时性，按其响应程度计0～5分。 9.提供检查药剂及医疗耗材品牌、进货渠道正常，安全，质量保证无假冒伪劣产品，符合国家、行业相关标准，按其响应程度计0～5分。</w:t>
            </w:r>
          </w:p>
        </w:tc>
        <w:tc>
          <w:tcPr>
            <w:tcW w:type="dxa" w:w="831"/>
          </w:tcPr>
          <w:p>
            <w:pPr>
              <w:pStyle w:val="null3"/>
              <w:jc w:val="right"/>
            </w:pPr>
            <w:r>
              <w:rPr/>
              <w:t>45.00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人员配置</w:t>
            </w:r>
          </w:p>
        </w:tc>
        <w:tc>
          <w:tcPr>
            <w:tcW w:type="dxa" w:w="2492"/>
          </w:tcPr>
          <w:p>
            <w:pPr>
              <w:pStyle w:val="null3"/>
            </w:pPr>
            <w:r>
              <w:rPr/>
              <w:t>1.供应商在职人员情况以及为本项目服务的医务人员的职称、工作经验、从医年限，按其响应程度计0～5分。 2.具备国家规定的医师执业资格、职称证书相关资质证书，并提供相关资质证书文件，按其响应程度计0～5分。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设备配置</w:t>
            </w:r>
          </w:p>
        </w:tc>
        <w:tc>
          <w:tcPr>
            <w:tcW w:type="dxa" w:w="2492"/>
          </w:tcPr>
          <w:p>
            <w:pPr>
              <w:pStyle w:val="null3"/>
            </w:pPr>
            <w:r>
              <w:rPr/>
              <w:t>1.供应商拟投入本项目分析仪器类检测设备的具体情况、购置年限、数量、技术可靠性和先进性，按其响应程度计0～5分。注：需提供详细的设备清单并附上相关设备的照片。 2.供应商拟投入本项目影像类检测设备的具体情况、购置年限、数量、技术可靠性和先进性，按其响应程度计0～5分。注：需提供详细的设备清单并附上相关设备的照片。</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质量保证</w:t>
            </w:r>
          </w:p>
        </w:tc>
        <w:tc>
          <w:tcPr>
            <w:tcW w:type="dxa" w:w="2492"/>
          </w:tcPr>
          <w:p>
            <w:pPr>
              <w:pStyle w:val="null3"/>
            </w:pPr>
            <w:r>
              <w:rPr/>
              <w:t>1、保密方案（提供体检过程中个人隐私信息保密方案），按其响应程度计0～5分。 2、提供可行的安全保障措施，对于各类突发事件具有应急预案、方案（不限于对出现低血糖、昏厥等就诊人员的处理措施），按其响应程度计0～5分。 3、能够提供方便教职工体检的服务方案，按其响应程度计0~5分。 4、提供体检早餐且营养搭配合理，按其响应程度计0～5分。注：需提供承诺书和近期体检现场早餐发放照片。不提供体检早餐或标准不符合要求的不得分。</w:t>
            </w:r>
          </w:p>
        </w:tc>
        <w:tc>
          <w:tcPr>
            <w:tcW w:type="dxa" w:w="831"/>
          </w:tcPr>
          <w:p>
            <w:pPr>
              <w:pStyle w:val="null3"/>
              <w:jc w:val="right"/>
            </w:pPr>
            <w:r>
              <w:rPr/>
              <w:t>20.00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供应商提供自2020年1月1日至今具有类似项目业绩，磋商响应文件中附有其业绩证明材料，业绩以合同为依据，每提供一个计1分，满分5分。</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首次响应报价明细表</w:t>
            </w:r>
          </w:p>
          <w:p>
            <w:pPr>
              <w:pStyle w:val="null3"/>
            </w:pPr>
            <w:r>
              <w:rPr/>
              <w:t>报价表</w:t>
            </w:r>
          </w:p>
          <w:p>
            <w:pPr>
              <w:pStyle w:val="null3"/>
            </w:pPr>
            <w:r>
              <w:rPr/>
              <w:t>标的清单</w:t>
            </w:r>
          </w:p>
          <w:p>
            <w:pPr>
              <w:pStyle w:val="null3"/>
            </w:pPr>
            <w:r>
              <w:rPr/>
              <w:t>中小企业声明函</w:t>
            </w:r>
          </w:p>
          <w:p>
            <w:pPr>
              <w:pStyle w:val="null3"/>
            </w:pPr>
            <w:r>
              <w:rPr/>
              <w:t>残疾人福利性单位声明函</w:t>
            </w:r>
          </w:p>
          <w:p>
            <w:pPr>
              <w:pStyle w:val="null3"/>
            </w:pPr>
            <w:r>
              <w:rPr/>
              <w:t>监狱企业的证明文件</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标的清单 报价表 首次响应报价明细表</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详见附件：首次响应报价明细表</w:t>
      </w:r>
    </w:p>
    <w:p>
      <w:pPr>
        <w:pStyle w:val="null3"/>
        <w:ind w:firstLine="960"/>
      </w:pPr>
      <w:r>
        <w:rPr/>
        <w:t>详见附件：采购需求偏离表</w:t>
      </w:r>
    </w:p>
    <w:p>
      <w:pPr>
        <w:pStyle w:val="null3"/>
        <w:ind w:firstLine="960"/>
      </w:pPr>
      <w:r>
        <w:rPr/>
        <w:t>详见附件：商务要求（合同草案条款）偏离表</w:t>
      </w:r>
    </w:p>
    <w:p>
      <w:pPr>
        <w:pStyle w:val="null3"/>
        <w:ind w:firstLine="960"/>
      </w:pPr>
      <w:r>
        <w:rPr/>
        <w:t>详见附件：供应商承诺</w:t>
      </w:r>
    </w:p>
    <w:p>
      <w:pPr>
        <w:pStyle w:val="null3"/>
        <w:ind w:firstLine="960"/>
      </w:pPr>
      <w:r>
        <w:rPr/>
        <w:t>详见附件：服务方案</w:t>
      </w:r>
    </w:p>
    <w:p>
      <w:pPr>
        <w:pStyle w:val="null3"/>
        <w:ind w:firstLine="960"/>
      </w:pPr>
      <w:r>
        <w:rPr/>
        <w:t>详见附件：资格证明文件</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