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曲江新区道路交通综合整治服务项目</w:t>
      </w:r>
    </w:p>
    <w:p>
      <w:pPr>
        <w:pStyle w:val="null3"/>
        <w:jc w:val="center"/>
        <w:outlineLvl w:val="2"/>
      </w:pPr>
      <w:r>
        <w:rPr>
          <w:sz w:val="28"/>
          <w:b/>
        </w:rPr>
        <w:t>采购项目编号：</w:t>
      </w:r>
      <w:r>
        <w:rPr>
          <w:sz w:val="28"/>
          <w:b/>
        </w:rPr>
        <w:t>ZCZX2024-CS-171</w:t>
      </w:r>
      <w:r>
        <w:br/>
      </w:r>
      <w:r>
        <w:br/>
      </w:r>
      <w:r>
        <w:br/>
      </w:r>
    </w:p>
    <w:p>
      <w:pPr>
        <w:pStyle w:val="null3"/>
        <w:jc w:val="center"/>
        <w:outlineLvl w:val="2"/>
      </w:pPr>
      <w:r>
        <w:rPr>
          <w:sz w:val="28"/>
          <w:b/>
        </w:rPr>
        <w:t>西安曲江新区土地储备中心</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西安曲江新区土地储备中心</w:t>
      </w:r>
      <w:r>
        <w:rPr/>
        <w:t>委托，拟对</w:t>
      </w:r>
      <w:r>
        <w:rPr/>
        <w:t>曲江新区道路交通综合整治服务项目</w:t>
      </w:r>
      <w:r>
        <w:rPr/>
        <w:t>采用竞争性磋商采购方式进行采购，兹邀请供应商参加本项目的竞争性磋商。</w:t>
      </w:r>
    </w:p>
    <w:p>
      <w:pPr>
        <w:pStyle w:val="null3"/>
        <w:outlineLvl w:val="2"/>
      </w:pPr>
      <w:r>
        <w:rPr>
          <w:sz w:val="28"/>
          <w:b/>
        </w:rPr>
        <w:t>一、项目编号：</w:t>
      </w:r>
      <w:r>
        <w:rPr>
          <w:sz w:val="28"/>
          <w:b/>
        </w:rPr>
        <w:t>ZCZX2024-CS-171</w:t>
      </w:r>
    </w:p>
    <w:p>
      <w:pPr>
        <w:pStyle w:val="null3"/>
        <w:outlineLvl w:val="2"/>
      </w:pPr>
      <w:r>
        <w:rPr>
          <w:sz w:val="28"/>
          <w:b/>
        </w:rPr>
        <w:t>二、项目名称：</w:t>
      </w:r>
      <w:r>
        <w:rPr>
          <w:sz w:val="28"/>
          <w:b/>
        </w:rPr>
        <w:t>曲江新区道路交通综合整治服务项目</w:t>
      </w:r>
    </w:p>
    <w:p>
      <w:pPr>
        <w:pStyle w:val="null3"/>
        <w:outlineLvl w:val="2"/>
      </w:pPr>
      <w:r>
        <w:rPr>
          <w:sz w:val="28"/>
          <w:b/>
        </w:rPr>
        <w:t>三、磋商项目简介</w:t>
      </w:r>
    </w:p>
    <w:p>
      <w:pPr>
        <w:pStyle w:val="null3"/>
        <w:ind w:firstLine="480"/>
      </w:pPr>
      <w:r>
        <w:rPr/>
        <w:t>对曲江新区静态交通秩序开展全面治理，重点对区内主次干道和景区、综合商业体、学校、医院周边、地铁站、公交场站等人流密集区域乱停乱放的机动车和非机动车予以清理、拖移。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采购包1（曲江新区道路交通综合整治服务项目）：属于专门面向中小企业采购。</w:t>
      </w:r>
    </w:p>
    <w:p>
      <w:pPr>
        <w:pStyle w:val="null3"/>
        <w:ind w:firstLine="480"/>
      </w:pPr>
      <w:r>
        <w:rPr/>
        <w:t>（三）本项目的特定资格要求：</w:t>
      </w:r>
    </w:p>
    <w:p>
      <w:pPr>
        <w:pStyle w:val="null3"/>
      </w:pPr>
      <w:r>
        <w:rPr/>
        <w:t>采购包1：</w:t>
      </w:r>
    </w:p>
    <w:p>
      <w:pPr>
        <w:pStyle w:val="null3"/>
      </w:pPr>
      <w:r>
        <w:rPr/>
        <w:t>1、授权书：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西安曲江新区土地储备中心</w:t>
      </w:r>
    </w:p>
    <w:p>
      <w:pPr>
        <w:pStyle w:val="null3"/>
      </w:pPr>
      <w:r>
        <w:rPr/>
        <w:t xml:space="preserve"> 地址： </w:t>
      </w:r>
      <w:r>
        <w:rPr/>
        <w:t>西安曲江政务中心B-817</w:t>
      </w:r>
    </w:p>
    <w:p>
      <w:pPr>
        <w:pStyle w:val="null3"/>
      </w:pPr>
      <w:r>
        <w:rPr/>
        <w:t xml:space="preserve"> 邮编： </w:t>
      </w:r>
      <w:r>
        <w:rPr/>
        <w:t>710000</w:t>
      </w:r>
    </w:p>
    <w:p>
      <w:pPr>
        <w:pStyle w:val="null3"/>
      </w:pPr>
      <w:r>
        <w:rPr/>
        <w:t xml:space="preserve"> 联系人： </w:t>
      </w:r>
      <w:r>
        <w:rPr/>
        <w:t>刘工</w:t>
      </w:r>
    </w:p>
    <w:p>
      <w:pPr>
        <w:pStyle w:val="null3"/>
      </w:pPr>
      <w:r>
        <w:rPr/>
        <w:t xml:space="preserve"> 联系电话： </w:t>
      </w:r>
      <w:r>
        <w:rPr/>
        <w:t>029-68660318</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710000</w:t>
      </w:r>
    </w:p>
    <w:p>
      <w:pPr>
        <w:pStyle w:val="null3"/>
      </w:pPr>
      <w:r>
        <w:rPr/>
        <w:t xml:space="preserve"> 联系人： </w:t>
      </w:r>
      <w:r>
        <w:rPr/>
        <w:t>吴芳超 褚振</w:t>
      </w:r>
    </w:p>
    <w:p>
      <w:pPr>
        <w:pStyle w:val="null3"/>
      </w:pPr>
      <w:r>
        <w:rPr/>
        <w:t xml:space="preserve"> 联系电话： </w:t>
      </w:r>
      <w:r>
        <w:rPr/>
        <w:t>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029-68660282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2、成交单位的代理服务费交纳信息 银行户名：陕西众诚致信管理咨询有限公司 开户银行：北京银行股份有限公司西安分行营业部 账 号：20000042729000032633420 联系人：范道宏联系电话：029-88565528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西安曲江新区土地储备中心</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西安曲江新区土地储备中心</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西安曲江新区土地储备中心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w:t>
      </w:r>
    </w:p>
    <w:p>
      <w:pPr>
        <w:pStyle w:val="null3"/>
      </w:pPr>
      <w:r>
        <w:rPr/>
        <w:t>联系电话：029-89565998</w:t>
      </w:r>
    </w:p>
    <w:p>
      <w:pPr>
        <w:pStyle w:val="null3"/>
      </w:pPr>
      <w:r>
        <w:rPr/>
        <w:t>地址：西安曲江新区翠华南路1688号创意盒子1304室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对曲江新区静态交通秩序开展全面治理，重点对区内主次干道和景区、综合商业体、学校、医院周边、地铁站、公交场站等人流密集区域乱停乱放的机动车和非机动车予以清理、拖移。</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786,000.00</w:t>
      </w:r>
    </w:p>
    <w:p>
      <w:pPr>
        <w:pStyle w:val="null3"/>
      </w:pPr>
      <w:r>
        <w:rPr/>
        <w:t>采购包最高限价（元）: 786,000.00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机动车、非机动车拖车清移服务</w:t>
            </w:r>
          </w:p>
        </w:tc>
        <w:tc>
          <w:tcPr>
            <w:tcW w:type="dxa" w:w="831"/>
          </w:tcPr>
          <w:p>
            <w:pPr>
              <w:pStyle w:val="null3"/>
              <w:jc w:val="right"/>
            </w:pPr>
            <w:r>
              <w:rPr/>
              <w:t>1.00</w:t>
            </w:r>
          </w:p>
        </w:tc>
        <w:tc>
          <w:tcPr>
            <w:tcW w:type="dxa" w:w="831"/>
          </w:tcPr>
          <w:p>
            <w:pPr>
              <w:pStyle w:val="null3"/>
              <w:jc w:val="right"/>
            </w:pPr>
            <w:r>
              <w:rPr/>
              <w:t>786,000.00</w:t>
            </w:r>
          </w:p>
        </w:tc>
        <w:tc>
          <w:tcPr>
            <w:tcW w:type="dxa" w:w="831"/>
          </w:tcPr>
          <w:p>
            <w:pPr>
              <w:pStyle w:val="null3"/>
            </w:pPr>
            <w:r>
              <w:rPr/>
              <w:t>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标的名称：机动车、非机动车拖车清移服务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对曲江新区静态交通秩序开展全面治理，重点对区内主次干道和景区、综合商业体、学校、医院周边、地铁站、公交场站等人流密集区域乱停乱放的机动车和非机动车予以清理、拖移。</w:t>
            </w:r>
          </w:p>
          <w:p>
            <w:pPr>
              <w:pStyle w:val="null3"/>
              <w:ind w:firstLine="480"/>
              <w:jc w:val="both"/>
            </w:pPr>
            <w:r>
              <w:rPr>
                <w:rFonts w:ascii="仿宋_gb2312" w:hAnsi="仿宋_gb2312" w:cs="仿宋_gb2312" w:eastAsia="仿宋_gb2312"/>
                <w:sz w:val="24"/>
              </w:rPr>
              <w:t>二、服务时间</w:t>
            </w:r>
          </w:p>
          <w:p>
            <w:pPr>
              <w:pStyle w:val="null3"/>
              <w:ind w:firstLine="480"/>
              <w:jc w:val="both"/>
            </w:pPr>
            <w:r>
              <w:rPr>
                <w:rFonts w:ascii="仿宋_gb2312" w:hAnsi="仿宋_gb2312" w:cs="仿宋_gb2312" w:eastAsia="仿宋_gb2312"/>
                <w:sz w:val="24"/>
              </w:rPr>
              <w:t>自合同签订日起一年。</w:t>
            </w:r>
          </w:p>
          <w:p>
            <w:pPr>
              <w:pStyle w:val="null3"/>
              <w:ind w:firstLine="480"/>
              <w:jc w:val="both"/>
            </w:pPr>
            <w:r>
              <w:rPr>
                <w:rFonts w:ascii="仿宋_gb2312" w:hAnsi="仿宋_gb2312" w:cs="仿宋_gb2312" w:eastAsia="仿宋_gb2312"/>
                <w:sz w:val="24"/>
              </w:rPr>
              <w:t>三、服务范围</w:t>
            </w:r>
          </w:p>
          <w:p>
            <w:pPr>
              <w:pStyle w:val="null3"/>
              <w:ind w:firstLine="480"/>
              <w:jc w:val="both"/>
            </w:pPr>
            <w:r>
              <w:rPr>
                <w:rFonts w:ascii="仿宋_gb2312" w:hAnsi="仿宋_gb2312" w:cs="仿宋_gb2312" w:eastAsia="仿宋_gb2312"/>
                <w:sz w:val="24"/>
              </w:rPr>
              <w:t>曲江新区。</w:t>
            </w:r>
          </w:p>
          <w:p>
            <w:pPr>
              <w:pStyle w:val="null3"/>
              <w:ind w:firstLine="480"/>
              <w:jc w:val="both"/>
            </w:pPr>
            <w:r>
              <w:rPr>
                <w:rFonts w:ascii="仿宋_gb2312" w:hAnsi="仿宋_gb2312" w:cs="仿宋_gb2312" w:eastAsia="仿宋_gb2312"/>
                <w:sz w:val="24"/>
              </w:rPr>
              <w:t>三、服务车辆数</w:t>
            </w:r>
          </w:p>
          <w:p>
            <w:pPr>
              <w:pStyle w:val="null3"/>
              <w:ind w:firstLine="480"/>
              <w:jc w:val="both"/>
            </w:pPr>
            <w:r>
              <w:rPr>
                <w:rFonts w:ascii="仿宋_gb2312" w:hAnsi="仿宋_gb2312" w:cs="仿宋_gb2312" w:eastAsia="仿宋_gb2312"/>
                <w:sz w:val="24"/>
              </w:rPr>
              <w:t>供应商应根据采购人实际需要的车辆数派车，且按照每天实际出车的车辆数据实结算。</w:t>
            </w:r>
          </w:p>
          <w:p>
            <w:pPr>
              <w:pStyle w:val="null3"/>
              <w:ind w:firstLine="480"/>
              <w:jc w:val="both"/>
            </w:pPr>
            <w:r>
              <w:rPr>
                <w:rFonts w:ascii="仿宋_gb2312" w:hAnsi="仿宋_gb2312" w:cs="仿宋_gb2312" w:eastAsia="仿宋_gb2312"/>
                <w:sz w:val="24"/>
              </w:rPr>
              <w:t>四、服务要求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、供应商具有作业拖车不少于10辆（含10辆），其中2吨至5吨中小型专项作业拖车不少于5辆。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、作业车辆的作业设备完整，特定的车辆必须有拖车辅助轮等辅助设备。</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、在服务期内，投标人应保证24小时全天候待命。在接到执法人员通知后，需于30分钟内赶至现场执行拖车任务。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、参加作业的车辆除驾驶员外应配备1-2名拖车业务熟练的作业人员。</w:t>
            </w:r>
          </w:p>
          <w:p>
            <w:pPr>
              <w:pStyle w:val="null3"/>
              <w:ind w:firstLine="480"/>
              <w:jc w:val="both"/>
            </w:pPr>
            <w:r>
              <w:rPr>
                <w:rFonts w:ascii="仿宋_gb2312" w:hAnsi="仿宋_gb2312" w:cs="仿宋_gb2312" w:eastAsia="仿宋_gb2312"/>
                <w:sz w:val="24"/>
              </w:rPr>
              <w:t>五、其他要求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、必须有执法人员在场并受执法人员委托的情况下才能实施拖移车辆作业。</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、供应商应保证所服务车辆的保险齐全、手续完整合法。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、在服务期内，所有车辆的加油费、维修保养费及司机和装卸工人的工资费用均由供应商负责，采购人不予承担。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、在服务期内，服务车辆所发生的交通事故，由供应商负责，与采购人无关。</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、在拖移过程中，所造成的拖移车辆损失及经济赔偿由供应商负责，与采购人无关。</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、在拖移过程中发生被拖车辆损坏的，供应商应立即通知采购方及有关部门，并负责赔偿。拖移过程中产生交通违章的，由供应商负责。</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、供应商必须将车辆拖到采购方指定的地点，并与有关工作人员办好交接手续。</w:t>
            </w:r>
          </w:p>
          <w:p>
            <w:pPr>
              <w:pStyle w:val="null3"/>
              <w:ind w:firstLine="480"/>
              <w:jc w:val="both"/>
            </w:pPr>
            <w:r>
              <w:rPr>
                <w:rFonts w:ascii="仿宋_gb2312" w:hAnsi="仿宋_gb2312" w:cs="仿宋_gb2312" w:eastAsia="仿宋_gb2312"/>
                <w:sz w:val="24"/>
              </w:rPr>
              <w:t>六、商务要求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、服务期：自合同签订之日起一年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、款项结算：根据服务数量按季度据实结算。</w:t>
            </w:r>
          </w:p>
          <w:p>
            <w:pPr>
              <w:pStyle w:val="null3"/>
              <w:spacing w:after="120"/>
              <w:ind w:firstLine="422"/>
              <w:jc w:val="both"/>
            </w:pPr>
            <w:r>
              <w:rPr>
                <w:rFonts w:ascii="&quot;times new roman&quot;, &quot;serif&quot;" w:hAnsi="&quot;times new roman&quot;, &quot;serif&quot;" w:cs="&quot;times new roman&quot;, &quot;serif&quot;" w:eastAsia="&quot;times new roman&quot;, &quot;serif&quot;"/>
                <w:sz w:val="21"/>
              </w:rPr>
              <w:t>备注：单价报价不高于1750.00元/车/天。</w:t>
            </w:r>
          </w:p>
          <w:p>
            <w:pPr>
              <w:pStyle w:val="null3"/>
              <w:ind w:firstLine="480"/>
              <w:jc w:val="both"/>
            </w:pP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曲江新区</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乙方开具结算金额的等额发票交至甲方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乙方开具结算金额的等额发票交至甲方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乙方开具结算金额的等额发票交至甲方</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乙方开具结算金额的等额发票交至甲方</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成交供应商在领取中标通知书时提供纸质响应文件两份，纸质版文件须是电子化交易平台系统生成的响应文件。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 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 2023年经审计的财务报告或银行出具的资信证明）。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t>标的清单 报价表 首次响应报价明细表</w:t>
            </w:r>
          </w:p>
        </w:tc>
      </w:tr>
      <w:tr>
        <w:tc>
          <w:tcPr>
            <w:tcW w:type="dxa" w:w="831"/>
          </w:tcPr>
          <w:p>
            <w:pPr>
              <w:pStyle w:val="null3"/>
            </w:pPr>
            <w:r>
              <w:rPr/>
              <w:t>2</w:t>
            </w:r>
          </w:p>
        </w:tc>
        <w:tc>
          <w:tcPr>
            <w:tcW w:type="dxa" w:w="2492"/>
          </w:tcPr>
          <w:p>
            <w:pPr>
              <w:pStyle w:val="null3"/>
            </w:pPr>
            <w:r>
              <w:rPr/>
              <w:t>签字或盖章</w:t>
            </w:r>
          </w:p>
        </w:tc>
        <w:tc>
          <w:tcPr>
            <w:tcW w:type="dxa" w:w="3322"/>
          </w:tcPr>
          <w:p>
            <w:pPr>
              <w:pStyle w:val="null3"/>
            </w:pPr>
            <w:r>
              <w:rPr/>
              <w:t>磋商响应文件加盖供应商单位公章或签字</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 首次响应报价明细表</w:t>
            </w:r>
          </w:p>
        </w:tc>
      </w:tr>
      <w:tr>
        <w:tc>
          <w:tcPr>
            <w:tcW w:type="dxa" w:w="831"/>
          </w:tcPr>
          <w:p>
            <w:pPr>
              <w:pStyle w:val="null3"/>
            </w:pPr>
            <w:r>
              <w:rPr/>
              <w:t>5</w:t>
            </w:r>
          </w:p>
        </w:tc>
        <w:tc>
          <w:tcPr>
            <w:tcW w:type="dxa" w:w="2492"/>
          </w:tcPr>
          <w:p>
            <w:pPr>
              <w:pStyle w:val="null3"/>
            </w:pPr>
            <w:r>
              <w:rPr/>
              <w:t>报价超出采购预算或最高限价</w:t>
            </w:r>
          </w:p>
        </w:tc>
        <w:tc>
          <w:tcPr>
            <w:tcW w:type="dxa" w:w="3322"/>
          </w:tcPr>
          <w:p>
            <w:pPr>
              <w:pStyle w:val="null3"/>
            </w:pPr>
            <w:r>
              <w:rPr/>
              <w:t>磋商报价未超出采购预算或最高限价</w:t>
            </w:r>
          </w:p>
        </w:tc>
        <w:tc>
          <w:tcPr>
            <w:tcW w:type="dxa" w:w="1661"/>
          </w:tcPr>
          <w:p>
            <w:pPr>
              <w:pStyle w:val="null3"/>
            </w:pPr>
            <w:r>
              <w:rPr/>
              <w:t>标的清单 报价表 首次响应报价明细表</w:t>
            </w:r>
          </w:p>
        </w:tc>
      </w:tr>
      <w:tr>
        <w:tc>
          <w:tcPr>
            <w:tcW w:type="dxa" w:w="831"/>
          </w:tcPr>
          <w:p>
            <w:pPr>
              <w:pStyle w:val="null3"/>
            </w:pPr>
            <w:r>
              <w:rPr/>
              <w:t>6</w:t>
            </w:r>
          </w:p>
        </w:tc>
        <w:tc>
          <w:tcPr>
            <w:tcW w:type="dxa" w:w="2492"/>
          </w:tcPr>
          <w:p>
            <w:pPr>
              <w:pStyle w:val="null3"/>
            </w:pPr>
            <w:r>
              <w:rPr/>
              <w:t>响应文件中技术、服务内容达不到采购要求，出现重大负偏差，降低了服务要求</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7</w:t>
            </w:r>
          </w:p>
        </w:tc>
        <w:tc>
          <w:tcPr>
            <w:tcW w:type="dxa" w:w="2492"/>
          </w:tcPr>
          <w:p>
            <w:pPr>
              <w:pStyle w:val="null3"/>
            </w:pPr>
            <w:r>
              <w:rPr/>
              <w:t>响应文件中附加了采购人难以接受的条件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对本项目的理解</w:t>
            </w:r>
          </w:p>
        </w:tc>
        <w:tc>
          <w:tcPr>
            <w:tcW w:type="dxa" w:w="2492"/>
          </w:tcPr>
          <w:p>
            <w:pPr>
              <w:pStyle w:val="null3"/>
            </w:pPr>
            <w:r>
              <w:rPr/>
              <w:t>1、投标人针对本项目需求的理解程度，按其响应程度计0～5分。 2、针对本项目服务的重点、难点定位分析准确，按其响应程度计0～5分。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1、整体服务方案考虑全面、合理，按其响应程度计0～5分。 2、针对不同时期，具有针对性的计划方案，按其响应程度计0～5分。 3、提供重点区域服务方案，方案考虑全面、合理，按其响应程度计0～5分。 4、接到清移通知后，响应速度满足磋商文件需求，并能在合理时间内到达现场，按其响应程度计0～5分。 5、建立突发事件应急预案库，预案库考虑全面、合理，按其响应程度计0～5分。 6、提供应急增援工作及可行性方案，按其响应程度计0～5分。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车辆配置</w:t>
            </w:r>
          </w:p>
        </w:tc>
        <w:tc>
          <w:tcPr>
            <w:tcW w:type="dxa" w:w="2492"/>
          </w:tcPr>
          <w:p>
            <w:pPr>
              <w:pStyle w:val="null3"/>
            </w:pPr>
            <w:r>
              <w:rPr/>
              <w:t>1、提供车辆新旧程度、维护及配置情况，按其响应程度计0～5分。 2、岗位设置合理，保证日常管理期和节日管理期命令传达畅通、及时，按其响应程度计0～5分。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组织构架</w:t>
            </w:r>
          </w:p>
        </w:tc>
        <w:tc>
          <w:tcPr>
            <w:tcW w:type="dxa" w:w="2492"/>
          </w:tcPr>
          <w:p>
            <w:pPr>
              <w:pStyle w:val="null3"/>
            </w:pPr>
            <w:r>
              <w:rPr/>
              <w:t>1、供应商具有完善的人员管理制度，能从职业能力保障、人员纪律、人员背景调查、身体体能状况等方面确保人员具有项目所需的能力和素质。按其响应程度计0～5分。 2、为全体作业人员购买团体意外伤害险。按其响应程度计0～5分。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w:t>
            </w:r>
          </w:p>
        </w:tc>
        <w:tc>
          <w:tcPr>
            <w:tcW w:type="dxa" w:w="2492"/>
          </w:tcPr>
          <w:p>
            <w:pPr>
              <w:pStyle w:val="null3"/>
            </w:pPr>
            <w:r>
              <w:rPr/>
              <w:t>1、为保证服务的及时性及服务质量，投标人需从人员、设备等方面提供具体的服务保障方案。 1-1、提供人员保障方案，按其响应程度计0～5分。 1-2、提供车辆保障方案，按其响应程度计0～5分。 1-3、提供通讯保障方案，按其响应程度计0～5分。 2、提供针对本项目的服务承诺（包含针对本项目的服务质量目标、服务期限及服务过程中的人员到岗情况等），按其响应程度计0～5分。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供应商近三年（2020年1月1日至今）具有同类项目业绩，业绩以合同为依据，响应文件中附有其证明资料，每提供一个业绩证明计2分，满分10分。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满足招标文件要求且投标价格最低的投标单价为评标基准价，其价格分为满分。其他投标人的价格分统一按照下列公式计算：投标报价得分=（评标基准价/投标报价）×价格权值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首次响应报价明细表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详见附件：首次响应报价明细表</w:t>
      </w:r>
    </w:p>
    <w:p>
      <w:pPr>
        <w:pStyle w:val="null3"/>
        <w:ind w:firstLine="960"/>
      </w:pPr>
      <w:r>
        <w:rPr/>
        <w:t>详见附件：采购需求偏离表</w:t>
      </w:r>
    </w:p>
    <w:p>
      <w:pPr>
        <w:pStyle w:val="null3"/>
        <w:ind w:firstLine="960"/>
      </w:pPr>
      <w:r>
        <w:rPr/>
        <w:t>详见附件：商务要求（合同草案条款）偏离表</w:t>
      </w:r>
    </w:p>
    <w:p>
      <w:pPr>
        <w:pStyle w:val="null3"/>
        <w:ind w:firstLine="960"/>
      </w:pPr>
      <w:r>
        <w:rPr/>
        <w:t>详见附件：供应商承诺</w:t>
      </w:r>
    </w:p>
    <w:p>
      <w:pPr>
        <w:pStyle w:val="null3"/>
        <w:ind w:firstLine="960"/>
      </w:pPr>
      <w:r>
        <w:rPr/>
        <w:t>详见附件：服务方案</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