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曲江新区机动车尾气检测及非道路移动机械尾气检测项目</w:t>
      </w:r>
    </w:p>
    <w:p>
      <w:pPr>
        <w:pStyle w:val="null3"/>
        <w:jc w:val="center"/>
        <w:outlineLvl w:val="2"/>
      </w:pPr>
      <w:r>
        <w:rPr>
          <w:sz w:val="28"/>
          <w:b/>
        </w:rPr>
        <w:t>采购项目编号：</w:t>
      </w:r>
      <w:r>
        <w:rPr>
          <w:sz w:val="28"/>
          <w:b/>
        </w:rPr>
        <w:t>ZCZX2024-CS-165</w:t>
      </w:r>
      <w:r>
        <w:br/>
      </w:r>
      <w:r>
        <w:br/>
      </w:r>
      <w:r>
        <w:br/>
      </w:r>
    </w:p>
    <w:p>
      <w:pPr>
        <w:pStyle w:val="null3"/>
        <w:jc w:val="center"/>
        <w:outlineLvl w:val="2"/>
      </w:pPr>
      <w:r>
        <w:rPr>
          <w:sz w:val="28"/>
          <w:b/>
        </w:rPr>
        <w:t>西安曲江新区事业资产管理中心</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2024年08月29日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陕西众诚致信管理咨询有限公司</w:t>
      </w:r>
      <w:r>
        <w:rPr/>
        <w:t>（以下简称“代理机构”）受</w:t>
      </w:r>
      <w:r>
        <w:rPr/>
        <w:t>西安曲江新区事业资产管理中心</w:t>
      </w:r>
      <w:r>
        <w:rPr/>
        <w:t>委托，拟对</w:t>
      </w:r>
      <w:r>
        <w:rPr/>
        <w:t>曲江新区机动车尾气检测及非道路移动机械尾气检测项目</w:t>
      </w:r>
      <w:r>
        <w:rPr/>
        <w:t>采用竞争性磋商采购方式进行采购，兹邀请供应商参加本项目的竞争性磋商。</w:t>
      </w:r>
    </w:p>
    <w:p>
      <w:pPr>
        <w:pStyle w:val="null3"/>
        <w:outlineLvl w:val="2"/>
      </w:pPr>
      <w:r>
        <w:rPr>
          <w:sz w:val="28"/>
          <w:b/>
        </w:rPr>
        <w:t>一、项目编号：</w:t>
      </w:r>
      <w:r>
        <w:rPr>
          <w:sz w:val="28"/>
          <w:b/>
        </w:rPr>
        <w:t>ZCZX2024-CS-165</w:t>
      </w:r>
    </w:p>
    <w:p>
      <w:pPr>
        <w:pStyle w:val="null3"/>
        <w:outlineLvl w:val="2"/>
      </w:pPr>
      <w:r>
        <w:rPr>
          <w:sz w:val="28"/>
          <w:b/>
        </w:rPr>
        <w:t>二、项目名称：</w:t>
      </w:r>
      <w:r>
        <w:rPr>
          <w:sz w:val="28"/>
          <w:b/>
        </w:rPr>
        <w:t>曲江新区机动车尾气检测及非道路移动机械尾气检测项目</w:t>
      </w:r>
    </w:p>
    <w:p>
      <w:pPr>
        <w:pStyle w:val="null3"/>
        <w:outlineLvl w:val="2"/>
      </w:pPr>
      <w:r>
        <w:rPr>
          <w:sz w:val="28"/>
          <w:b/>
        </w:rPr>
        <w:t>三、磋商项目简介</w:t>
      </w:r>
    </w:p>
    <w:p>
      <w:pPr>
        <w:pStyle w:val="null3"/>
        <w:ind w:firstLine="480"/>
      </w:pPr>
      <w:r>
        <w:rPr/>
        <w:t>配合开展非道路移动柴油机械排气污染监督抽测以及机动车排气污染路抽检执法检查工作。主要功能或目标:依据GB36886-2018要求，使用规范仪器进行非道路移动机械排气烟度规范检测，并出具相关“中国计量认证CMA检测报告”；按照国GB18285-2018及GB3847-2018规定的检测设备的五点标准气检查，使用国家一级标准物质底量程标准气体设备进行机动车尾气检查，检测完成后出具检测报告。实现“管检分离”、“依法行政”，持续推进机动车排气污染整治工作的落实。</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采购包1（曲江新区机动车尾气检测及非道路移动机械尾气检测项目）：属于专门面向中小企业采购。</w:t>
      </w:r>
    </w:p>
    <w:p>
      <w:pPr>
        <w:pStyle w:val="null3"/>
        <w:ind w:firstLine="480"/>
      </w:pPr>
      <w:r>
        <w:rPr/>
        <w:t>（三）本项目的特定资格要求：</w:t>
      </w:r>
    </w:p>
    <w:p>
      <w:pPr>
        <w:pStyle w:val="null3"/>
      </w:pPr>
      <w:r>
        <w:rPr/>
        <w:t>采购包1：</w:t>
      </w:r>
    </w:p>
    <w:p>
      <w:pPr>
        <w:pStyle w:val="null3"/>
      </w:pPr>
      <w:r>
        <w:rPr/>
        <w:t>1、资格： 供应商具有质监部门颁发的检验检测机构资质认定证书。证书附表上所列项目包含尾气检测项目；证书附表应具备《非道路移动机械排气烟度限值及测量方法》（GB36886-2018）的检测资质。</w:t>
      </w:r>
    </w:p>
    <w:p>
      <w:pPr>
        <w:pStyle w:val="null3"/>
      </w:pPr>
      <w:r>
        <w:rPr/>
        <w:t>2、授权书及授权代表本单位证明：供应商应授权合法的人员参加磋商全过程，其中法定代表人（或负责人）直接参加磋商的，须出具法人（或负责人）身份证，并与营业执照上信息一致。法定代表人（或负责人）授权代表参加磋商的，须出具法定代表人（或负责人）授权书及授权代表身份证、授权代表本单位证明（养老保险缴纳证明或劳动合同） 。</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西安曲江新区事业资产管理中心</w:t>
      </w:r>
    </w:p>
    <w:p>
      <w:pPr>
        <w:pStyle w:val="null3"/>
      </w:pPr>
      <w:r>
        <w:rPr/>
        <w:t xml:space="preserve"> 地址： </w:t>
      </w:r>
      <w:r>
        <w:rPr/>
        <w:t>西安曲江新区杜陵邑南路6号</w:t>
      </w:r>
    </w:p>
    <w:p>
      <w:pPr>
        <w:pStyle w:val="null3"/>
      </w:pPr>
      <w:r>
        <w:rPr/>
        <w:t xml:space="preserve"> 邮编： </w:t>
      </w:r>
      <w:r>
        <w:rPr/>
        <w:t>710061</w:t>
      </w:r>
    </w:p>
    <w:p>
      <w:pPr>
        <w:pStyle w:val="null3"/>
      </w:pPr>
      <w:r>
        <w:rPr/>
        <w:t xml:space="preserve"> 联系人： </w:t>
      </w:r>
      <w:r>
        <w:rPr/>
        <w:t>杨工</w:t>
      </w:r>
    </w:p>
    <w:p>
      <w:pPr>
        <w:pStyle w:val="null3"/>
      </w:pPr>
      <w:r>
        <w:rPr/>
        <w:t xml:space="preserve"> 联系电话： </w:t>
      </w:r>
      <w:r>
        <w:rPr/>
        <w:t>029-81201542</w:t>
      </w:r>
    </w:p>
    <w:p>
      <w:pPr>
        <w:pStyle w:val="null3"/>
        <w:outlineLvl w:val="3"/>
      </w:pPr>
      <w:r>
        <w:rPr>
          <w:sz w:val="24"/>
          <w:b/>
        </w:rPr>
        <w:t>代理机构：</w:t>
      </w:r>
      <w:r>
        <w:rPr>
          <w:sz w:val="24"/>
          <w:b/>
        </w:rPr>
        <w:t>陕西众诚致信管理咨询有限公司</w:t>
      </w:r>
    </w:p>
    <w:p>
      <w:pPr>
        <w:pStyle w:val="null3"/>
      </w:pPr>
      <w:r>
        <w:rPr/>
        <w:t xml:space="preserve"> 地址： </w:t>
      </w:r>
      <w:r>
        <w:rPr/>
        <w:t>陕西省西安市雁塔区西安曲江新区翠华南路1688号创意盒子13层04室</w:t>
      </w:r>
    </w:p>
    <w:p>
      <w:pPr>
        <w:pStyle w:val="null3"/>
      </w:pPr>
      <w:r>
        <w:rPr/>
        <w:t xml:space="preserve"> 邮编： </w:t>
      </w:r>
      <w:r>
        <w:rPr/>
        <w:t>710061</w:t>
      </w:r>
    </w:p>
    <w:p>
      <w:pPr>
        <w:pStyle w:val="null3"/>
      </w:pPr>
      <w:r>
        <w:rPr/>
        <w:t xml:space="preserve"> 联系人： </w:t>
      </w:r>
      <w:r>
        <w:rPr/>
        <w:t>高蕊玲 吴芳超</w:t>
      </w:r>
    </w:p>
    <w:p>
      <w:pPr>
        <w:pStyle w:val="null3"/>
      </w:pPr>
      <w:r>
        <w:rPr/>
        <w:t xml:space="preserve"> 联系电话： </w:t>
      </w:r>
      <w:r>
        <w:rPr/>
        <w:t>029-89565998</w:t>
      </w:r>
    </w:p>
    <w:p>
      <w:pPr>
        <w:pStyle w:val="null3"/>
        <w:outlineLvl w:val="3"/>
      </w:pPr>
      <w:r>
        <w:rPr>
          <w:sz w:val="24"/>
          <w:b/>
        </w:rPr>
        <w:t>采购监督机构：</w:t>
      </w:r>
      <w:r>
        <w:rPr>
          <w:sz w:val="24"/>
          <w:b/>
        </w:rPr>
        <w:t>西安曲江新区政府采购管理股</w:t>
      </w:r>
    </w:p>
    <w:p>
      <w:pPr>
        <w:pStyle w:val="null3"/>
        <w:ind w:firstLine="480"/>
      </w:pPr>
      <w:r>
        <w:rPr/>
        <w:t>联系人：</w:t>
      </w:r>
      <w:r>
        <w:rPr/>
        <w:t>寇雪莲</w:t>
      </w:r>
    </w:p>
    <w:p>
      <w:pPr>
        <w:pStyle w:val="null3"/>
        <w:ind w:firstLine="480"/>
      </w:pPr>
      <w:r>
        <w:rPr/>
        <w:t>联系电话：</w:t>
      </w:r>
      <w:r>
        <w:rPr/>
        <w:t>68660321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代理服务费收费标准：代理服务费用收取对象：中标/成交供应商 代理服务费收费标准：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 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西安曲江新区事业资产管理中心</w:t>
      </w:r>
      <w:r>
        <w:rPr/>
        <w:t>和</w:t>
      </w:r>
      <w:r>
        <w:rPr/>
        <w:t>陕西众诚致信管理咨询有限公司</w:t>
      </w:r>
      <w:r>
        <w:rPr/>
        <w:t>享有。对磋商文件中供应商参加本次政府采购活动应当具备的条件，磋商项目技术、服务、商务及其他要求，评审细则及标准由</w:t>
      </w:r>
      <w:r>
        <w:rPr/>
        <w:t>西安曲江新区事业资产管理中心</w:t>
      </w:r>
      <w:r>
        <w:rPr/>
        <w:t>负责解释。除上述磋商文件内容，其他内容由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西安曲江新区事业资产管理中心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w:t>
      </w:r>
    </w:p>
    <w:p>
      <w:pPr>
        <w:pStyle w:val="null3"/>
      </w:pPr>
      <w:r>
        <w:rPr/>
        <w:t>联系电话：029-89565998</w:t>
      </w:r>
    </w:p>
    <w:p>
      <w:pPr>
        <w:pStyle w:val="null3"/>
      </w:pPr>
      <w:r>
        <w:rPr/>
        <w:t>地址： 西安曲江新区翠华南路1688号创意盒子1304室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配合开展非道路移动柴油机械排气污染监督抽测以及机动车排气污染路抽检执法检查工作。主要功能或目标:依据GB36886-2018要求，使用规范仪器进行非道路移动机械排气烟度规范检测，并出具相关“中国计量认证CMA检测报告”；按照国GB18285-2018及GB3847-2018规定的检测设备的五点标准气检查，使用国家一级标准物质底量程标准气体设备进行机动车尾气检查，检测完成后出具检测报告。实现“管检分离”、“依法行政”，持续推进机动车排气污染整治工作的落实。</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曲江新区机动车尾气和非道路移动机械检测服务项目</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标的名称：曲江新区机动车尾气和非道路移动机械检测服务项目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配合开展非道路移动柴油机械排气污染监督抽测以及机动车排气污染路抽检执法检查工作。主要功能或目标:依据GB36886-2018要求，使用规范仪器进行非道路移动机械排气烟度规范检测，并出具相关“中国计量认证CMA检测报告”；按照国GB18285-2018及GB3847-2018规定的检测设备的五点标准气检查，使用国家一级标准物质底量程标准气体设备进行机动车尾气检查，检测完成后出具检测报告。实现“管检分离”、“依法行政”，持续推进机动车排气污染整治工作的落实。</w:t>
            </w:r>
          </w:p>
          <w:p>
            <w:pPr>
              <w:pStyle w:val="null3"/>
              <w:jc w:val="both"/>
            </w:pPr>
            <w:r>
              <w:rPr>
                <w:rFonts w:ascii="仿宋_gb2312" w:hAnsi="仿宋_gb2312" w:cs="仿宋_gb2312" w:eastAsia="仿宋_gb2312"/>
                <w:sz w:val="28"/>
                <w:b/>
              </w:rPr>
              <w:t>二、服务内容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、配合开展机动车排气污染路抽检执法检查工作，工作时间为每日7:30-22:30，含周末及法定节假日，工作时限为自合同签订之日起1年。以2人为一组，共提供2组4名机动车检验检测人员，2组自行进行轮换倒班；</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配合开展辖区内非道路移动柴油机械排气污染监督抽测工作，工作时间为每日8:30-22:30，含周末及法定节假日，工作时限为自合同签订之日起1年。以3人为一组，共提供2组6名非道路移动柴油机械排气烟度检验检测人员（1组备用）。</w:t>
            </w:r>
          </w:p>
          <w:p>
            <w:pPr>
              <w:pStyle w:val="null3"/>
              <w:jc w:val="both"/>
            </w:pPr>
            <w:r>
              <w:rPr>
                <w:rFonts w:ascii="仿宋_gb2312" w:hAnsi="仿宋_gb2312" w:cs="仿宋_gb2312" w:eastAsia="仿宋_gb2312"/>
                <w:sz w:val="28"/>
                <w:b/>
              </w:rPr>
              <w:t>三、服务质量及标准</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、机动车尾气检测人员具有省质检部门颁发的技术考核合格证；</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、机动车排气污染路抽检至少提供检定合格、手续完备的1台尾气分析仪、1台不透光度计及耗材配件，并保证检测仪器能够正常使用；</w:t>
            </w:r>
          </w:p>
          <w:p>
            <w:pPr>
              <w:pStyle w:val="null3"/>
              <w:ind w:firstLine="560"/>
              <w:jc w:val="both"/>
            </w:pPr>
            <w:r>
              <w:rPr>
                <w:rFonts w:ascii="仿宋_gb2312" w:hAnsi="仿宋_gb2312" w:cs="仿宋_gb2312" w:eastAsia="仿宋_gb2312"/>
                <w:sz w:val="28"/>
              </w:rPr>
              <w:t>非道路移动柴油机械排气污染监督抽测至少提供检定合格、手续完备的1台不透光度计及耗材配件，并保证检测仪器能够正常使用。</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、能对被检车辆出具具有法律效力的检测报告；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、提供被检车辆驾驶人讲解机动车排气污染检测以及非道路移动柴油机械驾驶人相关问题的服务；</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、自行解决现场检测所需统一服装、交通、误餐等相关费用；</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、第三方检测机构服务人员，对其检测行为及检测结果承担法律责任。</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合同签订生效后一年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第一季度服务完成后</w:t>
      </w:r>
      <w:r>
        <w:rPr/>
        <w:t xml:space="preserve"> ，达到付款条件起 </w:t>
      </w:r>
      <w:r>
        <w:rPr/>
        <w:t>60</w:t>
      </w:r>
      <w:r>
        <w:rPr/>
        <w:t xml:space="preserve"> 日内，支付合同总金额的 </w:t>
      </w:r>
      <w:r>
        <w:rPr/>
        <w:t>25.00</w:t>
      </w:r>
      <w:r>
        <w:rPr/>
        <w:t>%。</w:t>
      </w:r>
    </w:p>
    <w:p>
      <w:pPr>
        <w:pStyle w:val="null3"/>
      </w:pPr>
      <w:r>
        <w:rPr/>
        <w:t>采购包1：</w:t>
      </w:r>
      <w:r>
        <w:rPr/>
        <w:t xml:space="preserve"> 付款条件说明： </w:t>
      </w:r>
      <w:r>
        <w:rPr/>
        <w:t>第二季度服务完成后</w:t>
      </w:r>
      <w:r>
        <w:rPr/>
        <w:t xml:space="preserve"> ，达到付款条件起 </w:t>
      </w:r>
      <w:r>
        <w:rPr/>
        <w:t>60</w:t>
      </w:r>
      <w:r>
        <w:rPr/>
        <w:t xml:space="preserve"> 日内，支付合同总金额的 </w:t>
      </w:r>
      <w:r>
        <w:rPr/>
        <w:t>25.00</w:t>
      </w:r>
      <w:r>
        <w:rPr/>
        <w:t>%。</w:t>
      </w:r>
    </w:p>
    <w:p>
      <w:pPr>
        <w:pStyle w:val="null3"/>
      </w:pPr>
      <w:r>
        <w:rPr/>
        <w:t>采购包1：</w:t>
      </w:r>
      <w:r>
        <w:rPr/>
        <w:t xml:space="preserve"> 付款条件说明： </w:t>
      </w:r>
      <w:r>
        <w:rPr/>
        <w:t>第三季度服务完成后</w:t>
      </w:r>
      <w:r>
        <w:rPr/>
        <w:t xml:space="preserve"> ，达到付款条件起 </w:t>
      </w:r>
      <w:r>
        <w:rPr/>
        <w:t>60</w:t>
      </w:r>
      <w:r>
        <w:rPr/>
        <w:t xml:space="preserve"> 日内，支付合同总金额的 </w:t>
      </w:r>
      <w:r>
        <w:rPr/>
        <w:t>25.00</w:t>
      </w:r>
      <w:r>
        <w:rPr/>
        <w:t>%。</w:t>
      </w:r>
    </w:p>
    <w:p>
      <w:pPr>
        <w:pStyle w:val="null3"/>
      </w:pPr>
      <w:r>
        <w:rPr/>
        <w:t>采购包1：</w:t>
      </w:r>
      <w:r>
        <w:rPr/>
        <w:t xml:space="preserve"> 付款条件说明： </w:t>
      </w:r>
      <w:r>
        <w:rPr/>
        <w:t>第四季度服务完成后</w:t>
      </w:r>
      <w:r>
        <w:rPr/>
        <w:t xml:space="preserve"> ，达到付款条件起 </w:t>
      </w:r>
      <w:r>
        <w:rPr/>
        <w:t>60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详见合同文本</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1-1、供应商合法注册的法人或其他组织的营业执照等证明文件，自然人的身份证明； 1-2、具有良好的商业信誉和健全的财务会计制度（供应商应提供2022年或2023年经审计的财务报告或银行出具的资信证明）； 1-3、具备履行合同所必需的设备和专业技术能力的证明材料或承诺书； 1-4、有依法缴纳税收和社会保障资金的良好记录相关证明材料； 1-5、参加政府采购活动前三年内，在经营活动中没有重大违法记录的书面声明。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具有良好的商业信誉和健全的财务会计制度（供应商应提供2022年或2023年经审计的财务报告或银行出具的资信证明）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w:t>
            </w:r>
          </w:p>
        </w:tc>
        <w:tc>
          <w:tcPr>
            <w:tcW w:type="dxa" w:w="3322"/>
          </w:tcPr>
          <w:p>
            <w:pPr>
              <w:pStyle w:val="null3"/>
            </w:pPr>
            <w:r>
              <w:rPr/>
              <w:t xml:space="preserve"> 供应商具有质监部门颁发的检验检测机构资质认定证书。证书附表上所列项目包含尾气检测项目；证书附表应具备《非道路移动机械排气烟度限值及测量方法》（GB36886-2018）的检测资质。</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授权书及授权代表本单位证明</w:t>
            </w:r>
          </w:p>
        </w:tc>
        <w:tc>
          <w:tcPr>
            <w:tcW w:type="dxa" w:w="3322"/>
          </w:tcPr>
          <w:p>
            <w:pPr>
              <w:pStyle w:val="null3"/>
            </w:pPr>
            <w:r>
              <w:rPr/>
              <w:t>供应商应授权合法的人员参加磋商全过程，其中法定代表人（或负责人）直接参加磋商的，须出具法人（或负责人）身份证，并与营业执照上信息一致。法定代表人（或负责人）授权代表参加磋商的，须出具法定代表人（或负责人）授权书及授权代表身份证、授权代表本单位证明（养老保险缴纳证明或劳动合同） 。</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明显低于其他通过符合性供应商的报价，有可能影响产品质量或者不能诚信履约的，磋商小组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磋商小组要求的时间内通过项目电子化交易系统进行提交，否则提交的相关证明材料无效。供应商不能证明其响应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盖章</w:t>
            </w:r>
          </w:p>
        </w:tc>
        <w:tc>
          <w:tcPr>
            <w:tcW w:type="dxa" w:w="3322"/>
          </w:tcPr>
          <w:p>
            <w:pPr>
              <w:pStyle w:val="null3"/>
            </w:pPr>
            <w:r>
              <w:rPr/>
              <w:t>磋商响应文件加盖供应商单位公章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签字</w:t>
            </w:r>
          </w:p>
        </w:tc>
        <w:tc>
          <w:tcPr>
            <w:tcW w:type="dxa" w:w="3322"/>
          </w:tcPr>
          <w:p>
            <w:pPr>
              <w:pStyle w:val="null3"/>
            </w:pPr>
            <w:r>
              <w:rPr/>
              <w:t>磋商响应文件按磋商文件要求法定代表人（或负责人）或其授权代表签字</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响应报价明细表 报价表</w:t>
            </w:r>
          </w:p>
        </w:tc>
      </w:tr>
      <w:tr>
        <w:tc>
          <w:tcPr>
            <w:tcW w:type="dxa" w:w="831"/>
          </w:tcPr>
          <w:p>
            <w:pPr>
              <w:pStyle w:val="null3"/>
            </w:pPr>
            <w:r>
              <w:rPr/>
              <w:t>6</w:t>
            </w:r>
          </w:p>
        </w:tc>
        <w:tc>
          <w:tcPr>
            <w:tcW w:type="dxa" w:w="2492"/>
          </w:tcPr>
          <w:p>
            <w:pPr>
              <w:pStyle w:val="null3"/>
            </w:pPr>
            <w:r>
              <w:rPr/>
              <w:t>报价超出采购预算或最高限价</w:t>
            </w:r>
          </w:p>
        </w:tc>
        <w:tc>
          <w:tcPr>
            <w:tcW w:type="dxa" w:w="3322"/>
          </w:tcPr>
          <w:p>
            <w:pPr>
              <w:pStyle w:val="null3"/>
            </w:pPr>
            <w:r>
              <w:rPr/>
              <w:t>磋商报价未超出采购预算或最高限价</w:t>
            </w:r>
          </w:p>
        </w:tc>
        <w:tc>
          <w:tcPr>
            <w:tcW w:type="dxa" w:w="1661"/>
          </w:tcPr>
          <w:p>
            <w:pPr>
              <w:pStyle w:val="null3"/>
            </w:pPr>
            <w:r>
              <w:rPr/>
              <w:t>报价表</w:t>
            </w:r>
          </w:p>
        </w:tc>
      </w:tr>
      <w:tr>
        <w:tc>
          <w:tcPr>
            <w:tcW w:type="dxa" w:w="831"/>
          </w:tcPr>
          <w:p>
            <w:pPr>
              <w:pStyle w:val="null3"/>
            </w:pPr>
            <w:r>
              <w:rPr/>
              <w:t>7</w:t>
            </w:r>
          </w:p>
        </w:tc>
        <w:tc>
          <w:tcPr>
            <w:tcW w:type="dxa" w:w="2492"/>
          </w:tcPr>
          <w:p>
            <w:pPr>
              <w:pStyle w:val="null3"/>
            </w:pPr>
            <w:r>
              <w:rPr/>
              <w:t>响应文件中技术、服务内容达不到采购要求，出现重大负偏差，降低了服务要求</w:t>
            </w:r>
          </w:p>
        </w:tc>
        <w:tc>
          <w:tcPr>
            <w:tcW w:type="dxa" w:w="3322"/>
          </w:tcPr>
          <w:p>
            <w:pPr>
              <w:pStyle w:val="null3"/>
            </w:pPr>
            <w:r>
              <w:rPr/>
              <w:t>技术、服务内容达到采购要求，未出现重大负偏差，未降低了服务要求</w:t>
            </w:r>
          </w:p>
        </w:tc>
        <w:tc>
          <w:tcPr>
            <w:tcW w:type="dxa" w:w="1661"/>
          </w:tcPr>
          <w:p>
            <w:pPr>
              <w:pStyle w:val="null3"/>
            </w:pPr>
            <w:r>
              <w:rPr/>
              <w:t>商务要求（合同草案条款）偏离表 采购需求偏离表</w:t>
            </w:r>
          </w:p>
        </w:tc>
      </w:tr>
      <w:tr>
        <w:tc>
          <w:tcPr>
            <w:tcW w:type="dxa" w:w="831"/>
          </w:tcPr>
          <w:p>
            <w:pPr>
              <w:pStyle w:val="null3"/>
            </w:pPr>
            <w:r>
              <w:rPr/>
              <w:t>8</w:t>
            </w:r>
          </w:p>
        </w:tc>
        <w:tc>
          <w:tcPr>
            <w:tcW w:type="dxa" w:w="2492"/>
          </w:tcPr>
          <w:p>
            <w:pPr>
              <w:pStyle w:val="null3"/>
            </w:pPr>
            <w:r>
              <w:rPr/>
              <w:t>响应文件中附加了采购人难以接受的条件</w:t>
            </w:r>
          </w:p>
        </w:tc>
        <w:tc>
          <w:tcPr>
            <w:tcW w:type="dxa" w:w="3322"/>
          </w:tcPr>
          <w:p>
            <w:pPr>
              <w:pStyle w:val="null3"/>
            </w:pPr>
            <w:r>
              <w:rPr/>
              <w:t>响应文件中未附加采购人难以接受的条件</w:t>
            </w:r>
          </w:p>
        </w:tc>
        <w:tc>
          <w:tcPr>
            <w:tcW w:type="dxa" w:w="1661"/>
          </w:tcPr>
          <w:p>
            <w:pPr>
              <w:pStyle w:val="null3"/>
            </w:pPr>
            <w:r>
              <w:rPr/>
              <w:t>采购需求偏离表</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资格证明文件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检测评审</w:t>
            </w:r>
          </w:p>
        </w:tc>
        <w:tc>
          <w:tcPr>
            <w:tcW w:type="dxa" w:w="2492"/>
          </w:tcPr>
          <w:p>
            <w:pPr>
              <w:pStyle w:val="null3"/>
            </w:pPr>
            <w:r>
              <w:rPr/>
              <w:t>1、根据检测方案进行评审。按其响应程度计0～5分。 2、根据检测方式进行评审。按其响应程度计0～5分。 3、提供采购需求中不同类型车辆的排放限值标准，同时，分析检测物超标的原因及降低污染物的有效措施。执行标准和原因分析清晰准确，措施有效可行。按其响应程度计0～5分。 4、提供雾霾严重时期保障检测准确性措施。措施有效可行。按其响应程度计0～5分。 5、提供雨季、风沙季保障检测准确性措施及误工预案。措施、预案有效可行。按其响应程度计0～5分。 6、工作程序和流程能够结合项目的实际情况，详细合理，按其响应程度计0～5分。 7、检测数据管理服务方案详细、科学，能够结合项目的实际情况，按其响应程度计0～5分。 8、检测报告的及时性和完整性，按其响应程度计0～5分。</w:t>
            </w:r>
          </w:p>
        </w:tc>
        <w:tc>
          <w:tcPr>
            <w:tcW w:type="dxa" w:w="831"/>
          </w:tcPr>
          <w:p>
            <w:pPr>
              <w:pStyle w:val="null3"/>
              <w:jc w:val="right"/>
            </w:pPr>
            <w:r>
              <w:rPr/>
              <w:t>40.0000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项目团队</w:t>
            </w:r>
          </w:p>
        </w:tc>
        <w:tc>
          <w:tcPr>
            <w:tcW w:type="dxa" w:w="2492"/>
          </w:tcPr>
          <w:p>
            <w:pPr>
              <w:pStyle w:val="null3"/>
            </w:pPr>
            <w:r>
              <w:rPr/>
              <w:t>1、对项目负责人履历，职称，从业资格，类似业绩情况进行综合评审比较。按其响应程度计0～5分。 2、项目人员配备、分工，组织结构设置的健全程度和合理性进行评审。按其响应程度计0～5分。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拟投入本项目的仪器设备情况</w:t>
            </w:r>
          </w:p>
        </w:tc>
        <w:tc>
          <w:tcPr>
            <w:tcW w:type="dxa" w:w="2492"/>
          </w:tcPr>
          <w:p>
            <w:pPr>
              <w:pStyle w:val="null3"/>
            </w:pPr>
            <w:r>
              <w:rPr/>
              <w:t>1、对供应商拟投入本项目的检测仪器设备情况进行评审（需提供主要仪器设备的有效计量检定证书），按其响应程度计0～5分。 2、仪器设备信息化程度高，为市场主流设备。按其响应程度计0～5分。 3、对供应商拟投入本项目的办公、交通等设备情况进行评审。按其响应程度计0～5分。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服务承诺及应急预案</w:t>
            </w:r>
          </w:p>
        </w:tc>
        <w:tc>
          <w:tcPr>
            <w:tcW w:type="dxa" w:w="2492"/>
          </w:tcPr>
          <w:p>
            <w:pPr>
              <w:pStyle w:val="null3"/>
            </w:pPr>
            <w:r>
              <w:rPr/>
              <w:t>1、针对检测服务的承诺情况，按其响应程度计0～5分。 2、针对检测质量指标的承诺情况，按其响应程度计0～5分。 3、针对本项目的应急预案及合理化建议。按其响应程度计0～5分。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本地化服务</w:t>
            </w:r>
          </w:p>
        </w:tc>
        <w:tc>
          <w:tcPr>
            <w:tcW w:type="dxa" w:w="2492"/>
          </w:tcPr>
          <w:p>
            <w:pPr>
              <w:pStyle w:val="null3"/>
            </w:pPr>
            <w:r>
              <w:rPr/>
              <w:t>针对本项目提供本地化服务并提供具体方案，按其响应程度计0～5分。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供应商提供2021年1月1日至今类似项目业绩，业绩以合同为依据，响应文件中附有其证明资料，每提供一个业绩证明计1分，满分5分。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磋商方案说明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响应报价明细表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详见附件：采购需求偏离表</w:t>
      </w:r>
    </w:p>
    <w:p>
      <w:pPr>
        <w:pStyle w:val="null3"/>
        <w:ind w:firstLine="960"/>
      </w:pPr>
      <w:r>
        <w:rPr/>
        <w:t>详见附件：磋商方案说明</w:t>
      </w:r>
    </w:p>
    <w:p>
      <w:pPr>
        <w:pStyle w:val="null3"/>
        <w:ind w:firstLine="960"/>
      </w:pPr>
      <w:r>
        <w:rPr/>
        <w:t>详见附件：供应商承诺书</w:t>
      </w:r>
    </w:p>
    <w:p>
      <w:pPr>
        <w:pStyle w:val="null3"/>
        <w:ind w:firstLine="960"/>
      </w:pPr>
      <w:r>
        <w:rPr/>
        <w:t>详见附件：商务要求（合同草案条款）偏离表</w:t>
      </w:r>
    </w:p>
    <w:p>
      <w:pPr>
        <w:pStyle w:val="null3"/>
        <w:ind w:firstLine="960"/>
      </w:pPr>
      <w:r>
        <w:rPr/>
        <w:t>详见附件：响应报价明细表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详见附件：合同草案条款.docx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