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版本号：240829001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2024年曲江新区环卫车队车辆年检服务项目</w:t>
      </w:r>
    </w:p>
    <w:p>
      <w:pPr>
        <w:pStyle w:val="null3"/>
        <w:jc w:val="center"/>
        <w:outlineLvl w:val="2"/>
      </w:pPr>
      <w:r>
        <w:rPr>
          <w:sz w:val="28"/>
          <w:b/>
        </w:rPr>
        <w:t>采购项目编号：</w:t>
      </w:r>
      <w:r>
        <w:rPr>
          <w:sz w:val="28"/>
          <w:b/>
        </w:rPr>
        <w:t>ZCZX2024-CS-172</w:t>
      </w:r>
      <w:r>
        <w:br/>
      </w:r>
      <w:r>
        <w:br/>
      </w:r>
      <w:r>
        <w:br/>
      </w:r>
    </w:p>
    <w:p>
      <w:pPr>
        <w:pStyle w:val="null3"/>
        <w:jc w:val="center"/>
        <w:outlineLvl w:val="2"/>
      </w:pPr>
      <w:r>
        <w:rPr>
          <w:sz w:val="28"/>
          <w:b/>
        </w:rPr>
        <w:t>西安曲江新区事业资产管理中心</w:t>
      </w:r>
    </w:p>
    <w:p>
      <w:pPr>
        <w:pStyle w:val="null3"/>
        <w:jc w:val="center"/>
        <w:outlineLvl w:val="2"/>
      </w:pPr>
      <w:r>
        <w:rPr>
          <w:sz w:val="28"/>
          <w:b/>
        </w:rPr>
        <w:t>陕西众诚致信管理咨询有限公司</w:t>
      </w:r>
      <w:r>
        <w:rPr>
          <w:sz w:val="28"/>
          <w:b/>
        </w:rPr>
        <w:t>共同编制</w:t>
      </w:r>
    </w:p>
    <w:p>
      <w:pPr>
        <w:pStyle w:val="null3"/>
        <w:jc w:val="center"/>
        <w:outlineLvl w:val="2"/>
      </w:pPr>
      <w:r>
        <w:rPr>
          <w:sz w:val="28"/>
          <w:b/>
        </w:rPr>
        <w:t>2024年08月29日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陕西众诚致信管理咨询有限公司</w:t>
      </w:r>
      <w:r>
        <w:rPr/>
        <w:t>（以下简称“代理机构”）受</w:t>
      </w:r>
      <w:r>
        <w:rPr/>
        <w:t>西安曲江新区事业资产管理中心</w:t>
      </w:r>
      <w:r>
        <w:rPr/>
        <w:t>委托，拟对</w:t>
      </w:r>
      <w:r>
        <w:rPr/>
        <w:t>2024年曲江新区环卫车队车辆年检服务项目</w:t>
      </w:r>
      <w:r>
        <w:rPr/>
        <w:t>采用竞争性磋商采购方式进行采购，兹邀请供应商参加本项目的竞争性磋商。</w:t>
      </w:r>
    </w:p>
    <w:p>
      <w:pPr>
        <w:pStyle w:val="null3"/>
        <w:outlineLvl w:val="2"/>
      </w:pPr>
      <w:r>
        <w:rPr>
          <w:sz w:val="28"/>
          <w:b/>
        </w:rPr>
        <w:t>一、项目编号：</w:t>
      </w:r>
      <w:r>
        <w:rPr>
          <w:sz w:val="28"/>
          <w:b/>
        </w:rPr>
        <w:t>ZCZX2024-CS-172</w:t>
      </w:r>
    </w:p>
    <w:p>
      <w:pPr>
        <w:pStyle w:val="null3"/>
        <w:outlineLvl w:val="2"/>
      </w:pPr>
      <w:r>
        <w:rPr>
          <w:sz w:val="28"/>
          <w:b/>
        </w:rPr>
        <w:t>二、项目名称：</w:t>
      </w:r>
      <w:r>
        <w:rPr>
          <w:sz w:val="28"/>
          <w:b/>
        </w:rPr>
        <w:t>2024年曲江新区环卫车队车辆年检服务项目</w:t>
      </w:r>
    </w:p>
    <w:p>
      <w:pPr>
        <w:pStyle w:val="null3"/>
        <w:outlineLvl w:val="2"/>
      </w:pPr>
      <w:r>
        <w:rPr>
          <w:sz w:val="28"/>
          <w:b/>
        </w:rPr>
        <w:t>三、磋商项目简介</w:t>
      </w:r>
    </w:p>
    <w:p>
      <w:pPr>
        <w:pStyle w:val="null3"/>
        <w:ind w:firstLine="480"/>
      </w:pPr>
      <w:r>
        <w:rPr/>
        <w:t xml:space="preserve"> 2024年曲江新区环卫车队将有144辆环卫车辆参加年检，费用暂定为29万元，最终根据实际发生费用据实结算。</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采购包1（车辆年检服务）：属于专门面向小微企业采购。</w:t>
      </w:r>
    </w:p>
    <w:p>
      <w:pPr>
        <w:pStyle w:val="null3"/>
        <w:ind w:firstLine="480"/>
      </w:pPr>
      <w:r>
        <w:rPr/>
        <w:t>（三）本项目的特定资格要求：</w:t>
      </w:r>
    </w:p>
    <w:p>
      <w:pPr>
        <w:pStyle w:val="null3"/>
      </w:pPr>
      <w:r>
        <w:rPr/>
        <w:t>采购包1：</w:t>
      </w:r>
    </w:p>
    <w:p>
      <w:pPr>
        <w:pStyle w:val="null3"/>
      </w:pPr>
      <w:r>
        <w:rPr/>
        <w:t>1、磋商授权：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授权代表本单位证明（养老保险缴纳证明或劳动合同）；</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西安曲江新区事业资产管理中心</w:t>
      </w:r>
    </w:p>
    <w:p>
      <w:pPr>
        <w:pStyle w:val="null3"/>
      </w:pPr>
      <w:r>
        <w:rPr/>
        <w:t xml:space="preserve"> 地址： </w:t>
      </w:r>
      <w:r>
        <w:rPr/>
        <w:t>西安曲江新区杜陵邑南路6号</w:t>
      </w:r>
    </w:p>
    <w:p>
      <w:pPr>
        <w:pStyle w:val="null3"/>
      </w:pPr>
      <w:r>
        <w:rPr/>
        <w:t xml:space="preserve"> 邮编： </w:t>
      </w:r>
      <w:r>
        <w:rPr/>
        <w:t>710000</w:t>
      </w:r>
    </w:p>
    <w:p>
      <w:pPr>
        <w:pStyle w:val="null3"/>
      </w:pPr>
      <w:r>
        <w:rPr/>
        <w:t xml:space="preserve"> 联系人： </w:t>
      </w:r>
      <w:r>
        <w:rPr/>
        <w:t>程工</w:t>
      </w:r>
    </w:p>
    <w:p>
      <w:pPr>
        <w:pStyle w:val="null3"/>
      </w:pPr>
      <w:r>
        <w:rPr/>
        <w:t xml:space="preserve"> 联系电话： </w:t>
      </w:r>
      <w:r>
        <w:rPr/>
        <w:t>029- 85599457</w:t>
      </w:r>
    </w:p>
    <w:p>
      <w:pPr>
        <w:pStyle w:val="null3"/>
        <w:outlineLvl w:val="3"/>
      </w:pPr>
      <w:r>
        <w:rPr>
          <w:sz w:val="24"/>
          <w:b/>
        </w:rPr>
        <w:t>代理机构：</w:t>
      </w:r>
      <w:r>
        <w:rPr>
          <w:sz w:val="24"/>
          <w:b/>
        </w:rPr>
        <w:t>陕西众诚致信管理咨询有限公司</w:t>
      </w:r>
    </w:p>
    <w:p>
      <w:pPr>
        <w:pStyle w:val="null3"/>
      </w:pPr>
      <w:r>
        <w:rPr/>
        <w:t xml:space="preserve"> 地址： </w:t>
      </w:r>
      <w:r>
        <w:rPr/>
        <w:t>西安曲江新区翠华南路1688号创意盒子13层1304室</w:t>
      </w:r>
    </w:p>
    <w:p>
      <w:pPr>
        <w:pStyle w:val="null3"/>
      </w:pPr>
      <w:r>
        <w:rPr/>
        <w:t xml:space="preserve"> 邮编： </w:t>
      </w:r>
      <w:r>
        <w:rPr/>
        <w:t>710061</w:t>
      </w:r>
    </w:p>
    <w:p>
      <w:pPr>
        <w:pStyle w:val="null3"/>
      </w:pPr>
      <w:r>
        <w:rPr/>
        <w:t xml:space="preserve"> 联系人： </w:t>
      </w:r>
      <w:r>
        <w:rPr/>
        <w:t>吴芳超、王鹏飞</w:t>
      </w:r>
    </w:p>
    <w:p>
      <w:pPr>
        <w:pStyle w:val="null3"/>
      </w:pPr>
      <w:r>
        <w:rPr/>
        <w:t xml:space="preserve"> 联系电话： </w:t>
      </w:r>
      <w:r>
        <w:rPr/>
        <w:t>029-89565998</w:t>
      </w:r>
    </w:p>
    <w:p>
      <w:pPr>
        <w:pStyle w:val="null3"/>
        <w:outlineLvl w:val="3"/>
      </w:pPr>
      <w:r>
        <w:rPr>
          <w:sz w:val="24"/>
          <w:b/>
        </w:rPr>
        <w:t>采购监督机构：</w:t>
      </w:r>
      <w:r>
        <w:rPr>
          <w:sz w:val="24"/>
          <w:b/>
        </w:rPr>
        <w:t>西安曲江新区财政局</w:t>
      </w:r>
    </w:p>
    <w:p>
      <w:pPr>
        <w:pStyle w:val="null3"/>
        <w:ind w:firstLine="480"/>
      </w:pPr>
      <w:r>
        <w:rPr/>
        <w:t>联系人：</w:t>
      </w:r>
      <w:r>
        <w:rPr/>
        <w:t>寇雪莲</w:t>
      </w:r>
    </w:p>
    <w:p>
      <w:pPr>
        <w:pStyle w:val="null3"/>
        <w:ind w:firstLine="480"/>
      </w:pPr>
      <w:r>
        <w:rPr/>
        <w:t>联系电话：</w:t>
      </w:r>
      <w:r>
        <w:rPr/>
        <w:t>029-68660082</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采购包1：290,000.00元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60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不足8000元的，按8000元收取。 成交单位的代理服务费交纳信息 银行户名：陕西众诚致信管理咨询有限公司 开户银行：北京银行股份有限公司西安分行营业部 账 号：20000042729000032633420 联系人：范道宏 联系电话：029-88565528</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西安曲江新区事业资产管理中心</w:t>
      </w:r>
      <w:r>
        <w:rPr/>
        <w:t>和</w:t>
      </w:r>
      <w:r>
        <w:rPr/>
        <w:t>陕西众诚致信管理咨询有限公司</w:t>
      </w:r>
      <w:r>
        <w:rPr/>
        <w:t>享有。对磋商文件中供应商参加本次政府采购活动应当具备的条件，磋商项目技术、服务、商务及其他要求，评审细则及标准由</w:t>
      </w:r>
      <w:r>
        <w:rPr/>
        <w:t>西安曲江新区事业资产管理中心</w:t>
      </w:r>
      <w:r>
        <w:rPr/>
        <w:t>负责解释。除上述磋商文件内容，其他内容由</w:t>
      </w:r>
      <w:r>
        <w:rPr/>
        <w:t>陕西众诚致信管理咨询有限公司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西安曲江新区事业资产管理中心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陕西众诚致信管理咨询有限公司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按合同约定</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陕西众诚致信管理咨询有限公司</w:t>
      </w:r>
      <w:r>
        <w:rPr/>
        <w:t xml:space="preserve"> 负责答复；供应商对除采购需求外的采购文件的询问、质疑由</w:t>
      </w:r>
      <w:r>
        <w:rPr/>
        <w:t>陕西众诚致信管理咨询有限公司</w:t>
      </w:r>
      <w:r>
        <w:rPr/>
        <w:t xml:space="preserve"> 负责答复；供应商对采购过程、采购结果的询问、质疑由 </w:t>
      </w:r>
      <w:r>
        <w:rPr/>
        <w:t>陕西众诚致信管理咨询有限公司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联系人：吴芳超、王鹏飞</w:t>
      </w:r>
    </w:p>
    <w:p>
      <w:pPr>
        <w:pStyle w:val="null3"/>
      </w:pPr>
      <w:r>
        <w:rPr/>
        <w:t>联系电话：029-89565998</w:t>
      </w:r>
    </w:p>
    <w:p>
      <w:pPr>
        <w:pStyle w:val="null3"/>
      </w:pPr>
      <w:r>
        <w:rPr/>
        <w:t>地址：西安曲江新区翠华南路1688号创意盒子13层1304室</w:t>
      </w:r>
    </w:p>
    <w:p>
      <w:pPr>
        <w:pStyle w:val="null3"/>
      </w:pPr>
      <w:r>
        <w:rPr/>
        <w:t>邮编：710061</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 xml:space="preserve"> 2024年曲江新区环卫车队将有144辆环卫车辆参加年检，费用暂定为29万元，最终根据实际发生费用据实结算。</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290,000.00</w:t>
      </w:r>
    </w:p>
    <w:p>
      <w:pPr>
        <w:pStyle w:val="null3"/>
      </w:pPr>
      <w:r>
        <w:rPr/>
        <w:t>采购包最高限价（元）: 290,000.00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车辆年检</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标的名称：车辆年检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0"/>
                <w:b/>
              </w:rPr>
              <w:t>一、项目概况</w:t>
            </w:r>
          </w:p>
          <w:p>
            <w:pPr>
              <w:pStyle w:val="null3"/>
              <w:ind w:firstLine="400"/>
              <w:jc w:val="both"/>
            </w:pPr>
            <w:r>
              <w:rPr>
                <w:rFonts w:ascii="宋体" w:hAnsi="宋体" w:cs="宋体" w:eastAsia="宋体"/>
                <w:sz w:val="20"/>
              </w:rPr>
              <w:t>2024</w:t>
            </w:r>
            <w:r>
              <w:rPr>
                <w:rFonts w:ascii="宋体" w:hAnsi="宋体" w:cs="宋体" w:eastAsia="宋体"/>
                <w:sz w:val="20"/>
              </w:rPr>
              <w:t>年曲江新区环卫车队将有144辆环卫车辆参加年检，费用暂定为29万元，最终根据实际发生费用据实结算。服务车辆情况及明细如下。</w:t>
            </w:r>
          </w:p>
          <w:p>
            <w:pPr>
              <w:pStyle w:val="null3"/>
              <w:ind w:firstLine="400"/>
              <w:jc w:val="both"/>
            </w:pPr>
            <w:r>
              <w:rPr>
                <w:rFonts w:ascii="宋体" w:hAnsi="宋体" w:cs="宋体" w:eastAsia="宋体"/>
                <w:sz w:val="20"/>
              </w:rPr>
              <w:t>车辆情况如下：</w:t>
            </w:r>
          </w:p>
          <w:tbl>
            <w:tblPr>
              <w:tblInd w:type="dxa" w:w="120"/>
              <w:tblBorders>
                <w:top w:val="single"/>
                <w:left w:val="single"/>
                <w:bottom w:val="single"/>
                <w:right w:val="single"/>
                <w:insideH w:val="single"/>
                <w:insideV w:val="single"/>
              </w:tblBorders>
            </w:tblPr>
            <w:tblGrid>
              <w:gridCol w:w="306"/>
              <w:gridCol w:w="584"/>
              <w:gridCol w:w="723"/>
              <w:gridCol w:w="489"/>
              <w:gridCol w:w="449"/>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序号</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车牌号码</w:t>
                  </w:r>
                </w:p>
              </w:tc>
              <w:tc>
                <w:tcPr>
                  <w:tcW w:type="dxa" w:w="7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车辆名称</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排放标准（国）</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b/>
                    </w:rPr>
                    <w:t>备注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陕AQ6087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陕AQ1217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陕AQ3927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陕AN2879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陕AN2521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陕AN2808</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陕AN3166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陕AN2769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陕AN2312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陕AN2831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陕AN3089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陕AN3155</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陕AN2771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陕AN2321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陕AS6011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陕AS6122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陕AS6263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陕AS6299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陕AT5561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LNG</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陕AV1770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陕AV6933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陕A02346D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陕A09883D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陕A05155D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陕A05567D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陕A08901D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陕A03038D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陕A01777D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29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陕A06950D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陕A05530D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陕A08756D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陕A05885D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陕A09086D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陕A01332D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陕A06830D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陕A01338D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陕A28363D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陕A23117D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39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陕A26367D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陕A28825D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陕A02737D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陕A29227D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陕A03317D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陕A20919D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陕A28772D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纯电动水车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0"/>
                    </w:rPr>
                    <w:t>陕AS6163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雾炮降尘车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陕AN3177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雾炮降尘车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陕AN2877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雾炮降尘车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49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陕AW7666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陕AW7616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高压冲洗车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陕AQ6199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机扫车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陕AQ5977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机扫车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陕AN2977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陕AN2809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陕AN3137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陕AN3039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机扫车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陕AN2929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陕AN2713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59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陕AN2911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陕AN2762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陕AQ5957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陕AQ6166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陕AQ6623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陕AS6213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陕AS6063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陕AS6226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陕AS6098</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陕AS6099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机扫车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69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陕ACW721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陕ACH053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陕ACH577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陕AV5752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大型污水循环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陕AV2737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大型污水循环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陕AV1797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大型污水循环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陕AV2797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大型污水循环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陕AV3757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大型污水循环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陕AV3726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大型污水循环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陕AV3937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大型污水循环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79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陕AV2770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大型污水循环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陕AV6969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大型污水循环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陕A07172D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陕A02348D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陕A06355D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陕A03677D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陕A09667D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陕A06822D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陕A00656D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陕A09619D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89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陕A08020D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陕A05557D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陕A00697D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陕A00927D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陕A06518D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陕A06555D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陕A00368D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陕A05355D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陕A00540D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陕A25332D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99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陕A27336D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陕A09767D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陕A27720D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陕A08776D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陕A06083D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陕A09807D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陕A01963D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纯电动洗扫车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纯电动</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陕AT9138</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干式吸尘车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陕AT9870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干式吸尘车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陕AW8339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干式吸尘车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109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0"/>
                    </w:rPr>
                    <w:t>陕AW8336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干式吸尘车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0"/>
                    </w:rPr>
                    <w:t>陕AAM906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干式吸尘车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宋体" w:hAnsi="宋体" w:cs="宋体" w:eastAsia="宋体"/>
                      <w:sz w:val="20"/>
                    </w:rPr>
                    <w:t>陕AAN121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干式吸尘车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陕A0F52U</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陕A0G06X</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陕A0R56D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陕A0Y70D</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陕A0Z10F</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陕A0Z52Y</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陕AA0T71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119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陕AQ0E67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陕A0V99W</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陕A0V19W</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陕A0Z99F</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陕AE6Z97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垃圾清运车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陕AL7222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面  包</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陕A62SQ2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轻  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汽油</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陕ADL172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深度保洁车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陕AQ0267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护栏清洗车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III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陕ACA727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护栏清洗车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129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陕ACT087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护栏清洗车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陕ABL037</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墙面清洗车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陕AK2065</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工程车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III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陕AX37Y5</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道路养护车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陕AS9010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陕AV8660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135</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陕AW0656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136</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陕AV8692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137</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陕AQ8366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IV</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138</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陕AM0026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III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139</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陕AW9592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140</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陕AW9561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141</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陕AW9535</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142</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陕AZ6962</w:t>
                  </w:r>
                </w:p>
              </w:tc>
              <w:tc>
                <w:tcPr>
                  <w:tcW w:type="dxa" w:w="723"/>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143</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陕AU3331</w:t>
                  </w:r>
                </w:p>
              </w:tc>
              <w:tc>
                <w:tcPr>
                  <w:tcW w:type="dxa" w:w="723"/>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液体清雪车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144</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陕ACX071</w:t>
                  </w:r>
                </w:p>
              </w:tc>
              <w:tc>
                <w:tcPr>
                  <w:tcW w:type="dxa" w:w="7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液体清雪车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20"/>
                    </w:rPr>
                    <w:t>VI</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calibri, sans-serif" w:hAnsi="calibri, sans-serif" w:cs="calibri, sans-serif" w:eastAsia="calibri, sans-serif"/>
                      <w:sz w:val="21"/>
                    </w:rPr>
                    <w:t>　</w:t>
                  </w:r>
                </w:p>
              </w:tc>
            </w:tr>
          </w:tbl>
          <w:p>
            <w:pPr>
              <w:pStyle w:val="null3"/>
              <w:ind w:firstLine="400"/>
              <w:jc w:val="both"/>
            </w:pPr>
            <w:r>
              <w:rPr>
                <w:rFonts w:ascii="宋体" w:hAnsi="宋体" w:cs="宋体" w:eastAsia="宋体"/>
                <w:sz w:val="20"/>
              </w:rPr>
              <w:t>二、采购</w:t>
            </w:r>
            <w:r>
              <w:rPr>
                <w:rFonts w:ascii="宋体" w:hAnsi="宋体" w:cs="宋体" w:eastAsia="宋体"/>
                <w:sz w:val="20"/>
              </w:rPr>
              <w:t>要</w:t>
            </w:r>
            <w:r>
              <w:rPr>
                <w:rFonts w:ascii="宋体" w:hAnsi="宋体" w:cs="宋体" w:eastAsia="宋体"/>
                <w:sz w:val="20"/>
              </w:rPr>
              <w:t>求</w:t>
            </w:r>
          </w:p>
          <w:p>
            <w:pPr>
              <w:pStyle w:val="null3"/>
              <w:ind w:firstLine="400"/>
              <w:jc w:val="both"/>
            </w:pPr>
            <w:r>
              <w:rPr>
                <w:rFonts w:ascii="宋体" w:hAnsi="宋体" w:cs="宋体" w:eastAsia="宋体"/>
                <w:sz w:val="20"/>
              </w:rPr>
              <w:t>1、环卫车辆年检费用必须为</w:t>
            </w:r>
            <w:r>
              <w:rPr>
                <w:rFonts w:ascii="宋体" w:hAnsi="宋体" w:cs="宋体" w:eastAsia="宋体"/>
                <w:sz w:val="20"/>
              </w:rPr>
              <w:t>2024</w:t>
            </w:r>
            <w:r>
              <w:rPr>
                <w:rFonts w:ascii="宋体" w:hAnsi="宋体" w:cs="宋体" w:eastAsia="宋体"/>
                <w:sz w:val="20"/>
              </w:rPr>
              <w:t>年</w:t>
            </w:r>
            <w:r>
              <w:rPr>
                <w:rFonts w:ascii="宋体" w:hAnsi="宋体" w:cs="宋体" w:eastAsia="宋体"/>
                <w:sz w:val="20"/>
              </w:rPr>
              <w:t>最新市场价；</w:t>
            </w:r>
          </w:p>
          <w:p>
            <w:pPr>
              <w:pStyle w:val="null3"/>
              <w:ind w:firstLine="400"/>
              <w:jc w:val="both"/>
            </w:pPr>
            <w:r>
              <w:rPr>
                <w:rFonts w:ascii="宋体" w:hAnsi="宋体" w:cs="宋体" w:eastAsia="宋体"/>
                <w:sz w:val="20"/>
              </w:rPr>
              <w:t>2、必须保障曲江新区环卫车辆年检工作正常开展；</w:t>
            </w:r>
          </w:p>
          <w:p>
            <w:pPr>
              <w:pStyle w:val="null3"/>
              <w:ind w:firstLine="400"/>
              <w:jc w:val="both"/>
            </w:pPr>
            <w:r>
              <w:rPr>
                <w:rFonts w:ascii="宋体" w:hAnsi="宋体" w:cs="宋体" w:eastAsia="宋体"/>
                <w:sz w:val="20"/>
              </w:rPr>
              <w:t>3</w:t>
            </w:r>
            <w:r>
              <w:rPr>
                <w:rFonts w:ascii="宋体" w:hAnsi="宋体" w:cs="宋体" w:eastAsia="宋体"/>
                <w:sz w:val="20"/>
              </w:rPr>
              <w:t>、保证每一辆车辆通过年检。</w:t>
            </w:r>
          </w:p>
          <w:p>
            <w:pPr>
              <w:pStyle w:val="null3"/>
              <w:ind w:firstLine="400"/>
              <w:jc w:val="both"/>
            </w:pPr>
            <w:r>
              <w:rPr>
                <w:rFonts w:ascii="宋体" w:hAnsi="宋体" w:cs="宋体" w:eastAsia="宋体"/>
                <w:sz w:val="20"/>
              </w:rPr>
              <w:t>三、其他要求</w:t>
            </w:r>
          </w:p>
          <w:p>
            <w:pPr>
              <w:pStyle w:val="null3"/>
              <w:ind w:firstLine="400"/>
              <w:jc w:val="both"/>
            </w:pPr>
            <w:r>
              <w:rPr>
                <w:rFonts w:ascii="宋体" w:hAnsi="宋体" w:cs="宋体" w:eastAsia="宋体"/>
                <w:sz w:val="20"/>
              </w:rPr>
              <w:t>1</w:t>
            </w:r>
            <w:r>
              <w:rPr>
                <w:rFonts w:ascii="宋体" w:hAnsi="宋体" w:cs="宋体" w:eastAsia="宋体"/>
                <w:sz w:val="20"/>
              </w:rPr>
              <w:t>、在检测过程中，环卫车辆出现任何故障等问题，由供应商自行承担相关责任。</w:t>
            </w:r>
          </w:p>
          <w:p>
            <w:pPr>
              <w:pStyle w:val="null3"/>
            </w:pPr>
            <w:r>
              <w:rPr>
                <w:rFonts w:ascii="宋体" w:hAnsi="宋体" w:cs="宋体" w:eastAsia="宋体"/>
                <w:sz w:val="20"/>
              </w:rPr>
              <w:t>2</w:t>
            </w:r>
            <w:r>
              <w:rPr>
                <w:rFonts w:ascii="宋体" w:hAnsi="宋体" w:cs="宋体" w:eastAsia="宋体"/>
                <w:sz w:val="20"/>
              </w:rPr>
              <w:t>、</w:t>
            </w:r>
            <w:r>
              <w:rPr>
                <w:rFonts w:ascii="宋体" w:hAnsi="宋体" w:cs="宋体" w:eastAsia="宋体"/>
                <w:sz w:val="20"/>
              </w:rPr>
              <w:t>供应商</w:t>
            </w:r>
            <w:r>
              <w:rPr>
                <w:rFonts w:ascii="宋体" w:hAnsi="宋体" w:cs="宋体" w:eastAsia="宋体"/>
                <w:sz w:val="20"/>
              </w:rPr>
              <w:t>响应</w:t>
            </w:r>
            <w:r>
              <w:rPr>
                <w:rFonts w:ascii="宋体" w:hAnsi="宋体" w:cs="宋体" w:eastAsia="宋体"/>
                <w:sz w:val="20"/>
              </w:rPr>
              <w:t>报价应为完成本次</w:t>
            </w:r>
            <w:r>
              <w:rPr>
                <w:rFonts w:ascii="宋体" w:hAnsi="宋体" w:cs="宋体" w:eastAsia="宋体"/>
                <w:sz w:val="20"/>
              </w:rPr>
              <w:t>采购</w:t>
            </w:r>
            <w:r>
              <w:rPr>
                <w:rFonts w:ascii="宋体" w:hAnsi="宋体" w:cs="宋体" w:eastAsia="宋体"/>
                <w:sz w:val="20"/>
              </w:rPr>
              <w:t>范围内全部内容的所有费用，如一旦成交，在服务过程中出现任何遗漏，均由成交供应商</w:t>
            </w:r>
            <w:r>
              <w:rPr>
                <w:rFonts w:ascii="宋体" w:hAnsi="宋体" w:cs="宋体" w:eastAsia="宋体"/>
                <w:sz w:val="20"/>
              </w:rPr>
              <w:t>自行负责</w:t>
            </w:r>
            <w:r>
              <w:rPr>
                <w:rFonts w:ascii="宋体" w:hAnsi="宋体" w:cs="宋体" w:eastAsia="宋体"/>
                <w:sz w:val="20"/>
              </w:rPr>
              <w:t>，采购人不再支付任何费用，合同签订时不予调整。</w:t>
            </w:r>
          </w:p>
        </w:tc>
      </w:tr>
    </w:tbl>
    <w:p>
      <w:pPr>
        <w:pStyle w:val="null3"/>
        <w:outlineLvl w:val="2"/>
      </w:pPr>
      <w:r>
        <w:rPr>
          <w:sz w:val="28"/>
          <w:b/>
        </w:rPr>
        <w:t>3.2.3人员配置要求</w:t>
      </w:r>
    </w:p>
    <w:p>
      <w:pPr>
        <w:pStyle w:val="null3"/>
      </w:pPr>
      <w:r>
        <w:rPr/>
        <w:t>采购包1：</w:t>
      </w:r>
    </w:p>
    <w:p>
      <w:pPr>
        <w:pStyle w:val="null3"/>
      </w:pPr>
      <w:r>
        <w:rPr/>
        <w:t>/</w:t>
      </w:r>
    </w:p>
    <w:p>
      <w:pPr>
        <w:pStyle w:val="null3"/>
        <w:outlineLvl w:val="2"/>
      </w:pPr>
      <w:r>
        <w:rPr>
          <w:sz w:val="28"/>
          <w:b/>
        </w:rPr>
        <w:t>3.2.4设施设备要求</w:t>
      </w:r>
    </w:p>
    <w:p>
      <w:pPr>
        <w:pStyle w:val="null3"/>
      </w:pPr>
      <w:r>
        <w:rPr/>
        <w:t>采购包1：</w:t>
      </w:r>
    </w:p>
    <w:p>
      <w:pPr>
        <w:pStyle w:val="null3"/>
      </w:pPr>
      <w:r>
        <w:rPr/>
        <w:t>/</w:t>
      </w:r>
    </w:p>
    <w:p>
      <w:pPr>
        <w:pStyle w:val="null3"/>
        <w:outlineLvl w:val="2"/>
      </w:pPr>
      <w:r>
        <w:rPr>
          <w:sz w:val="28"/>
          <w:b/>
        </w:rPr>
        <w:t>3.2.5其他要求</w:t>
      </w:r>
    </w:p>
    <w:p>
      <w:pPr>
        <w:pStyle w:val="null3"/>
      </w:pPr>
      <w:r>
        <w:rPr/>
        <w:t>采购包1：</w:t>
      </w:r>
    </w:p>
    <w:p>
      <w:pPr>
        <w:pStyle w:val="null3"/>
      </w:pPr>
      <w:r>
        <w:rPr/>
        <w:t>/</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自合同签订之日起一年</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按合同约定</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根据实际通过年检的车辆数按季度据实结算</w:t>
      </w:r>
      <w:r>
        <w:rPr/>
        <w:t xml:space="preserve"> ，达到付款条件起 </w:t>
      </w:r>
      <w:r>
        <w:rPr/>
        <w:t>60</w:t>
      </w:r>
      <w:r>
        <w:rPr/>
        <w:t xml:space="preserve"> 日内，支付合同总金额的 </w:t>
      </w:r>
      <w:r>
        <w:rPr/>
        <w:t>25.00</w:t>
      </w:r>
      <w:r>
        <w:rPr/>
        <w:t>%。</w:t>
      </w:r>
    </w:p>
    <w:p>
      <w:pPr>
        <w:pStyle w:val="null3"/>
      </w:pPr>
      <w:r>
        <w:rPr/>
        <w:t>采购包1：</w:t>
      </w:r>
      <w:r>
        <w:rPr/>
        <w:t xml:space="preserve"> 付款条件说明： </w:t>
      </w:r>
      <w:r>
        <w:rPr/>
        <w:t>根据实际通过年检的车辆数按季度据实结算</w:t>
      </w:r>
      <w:r>
        <w:rPr/>
        <w:t xml:space="preserve"> ，达到付款条件起 </w:t>
      </w:r>
      <w:r>
        <w:rPr/>
        <w:t>60</w:t>
      </w:r>
      <w:r>
        <w:rPr/>
        <w:t xml:space="preserve"> 日内，支付合同总金额的 </w:t>
      </w:r>
      <w:r>
        <w:rPr/>
        <w:t>25.00</w:t>
      </w:r>
      <w:r>
        <w:rPr/>
        <w:t>%。</w:t>
      </w:r>
    </w:p>
    <w:p>
      <w:pPr>
        <w:pStyle w:val="null3"/>
      </w:pPr>
      <w:r>
        <w:rPr/>
        <w:t>采购包1：</w:t>
      </w:r>
      <w:r>
        <w:rPr/>
        <w:t xml:space="preserve"> 付款条件说明： </w:t>
      </w:r>
      <w:r>
        <w:rPr/>
        <w:t>根据实际通过年检的车辆数按季度据实结算</w:t>
      </w:r>
      <w:r>
        <w:rPr/>
        <w:t xml:space="preserve"> ，达到付款条件起 </w:t>
      </w:r>
      <w:r>
        <w:rPr/>
        <w:t>60</w:t>
      </w:r>
      <w:r>
        <w:rPr/>
        <w:t xml:space="preserve"> 日内，支付合同总金额的 </w:t>
      </w:r>
      <w:r>
        <w:rPr/>
        <w:t>25.00</w:t>
      </w:r>
      <w:r>
        <w:rPr/>
        <w:t>%。</w:t>
      </w:r>
    </w:p>
    <w:p>
      <w:pPr>
        <w:pStyle w:val="null3"/>
      </w:pPr>
      <w:r>
        <w:rPr/>
        <w:t>采购包1：</w:t>
      </w:r>
      <w:r>
        <w:rPr/>
        <w:t xml:space="preserve"> 付款条件说明： </w:t>
      </w:r>
      <w:r>
        <w:rPr/>
        <w:t>根据实际通过年检的车辆数按季度据实结算</w:t>
      </w:r>
      <w:r>
        <w:rPr/>
        <w:t xml:space="preserve"> ，达到付款条件起 </w:t>
      </w:r>
      <w:r>
        <w:rPr/>
        <w:t>60</w:t>
      </w:r>
      <w:r>
        <w:rPr/>
        <w:t xml:space="preserve"> 日内，支付合同总金额的 </w:t>
      </w:r>
      <w:r>
        <w:rPr/>
        <w:t>25.00</w:t>
      </w:r>
      <w:r>
        <w:rPr/>
        <w:t>%。</w:t>
      </w:r>
    </w:p>
    <w:p>
      <w:pPr>
        <w:pStyle w:val="null3"/>
        <w:outlineLvl w:val="3"/>
      </w:pPr>
      <w:r>
        <w:rPr>
          <w:sz w:val="24"/>
          <w:b/>
        </w:rPr>
        <w:t>3.3.6违约责任及解决争议的方法</w:t>
      </w:r>
    </w:p>
    <w:p>
      <w:pPr>
        <w:pStyle w:val="null3"/>
      </w:pPr>
      <w:r>
        <w:rPr/>
        <w:t>采购包1：</w:t>
      </w:r>
    </w:p>
    <w:p>
      <w:pPr>
        <w:pStyle w:val="null3"/>
      </w:pPr>
      <w:r>
        <w:rPr/>
        <w:t>按合同约定</w:t>
      </w:r>
    </w:p>
    <w:p>
      <w:pPr>
        <w:pStyle w:val="null3"/>
        <w:outlineLvl w:val="2"/>
      </w:pPr>
      <w:r>
        <w:rPr>
          <w:sz w:val="28"/>
          <w:b/>
        </w:rPr>
        <w:t>3.4其他要求</w:t>
      </w:r>
    </w:p>
    <w:p>
      <w:pPr>
        <w:pStyle w:val="null3"/>
      </w:pPr>
      <w:r>
        <w:rPr/>
        <w:t>成交供应商领取通知书时提供纸质文件2份。</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1、供应商合法注册的法人或其他组织的营业执照等证明文件，自然人的身份证明； 2、具有良好的商业信誉和健全的财务会计制度（供应商应提供2023年经审计的财务报告或银行出具的资信证明）；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具有良好的商业信誉和健全的财务会计制度（供应商应提供2023年经审计的财务报告或银行出具的资信证明）</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参与的供应商（联合体）服务全部由符合政策要求的小微企业承接。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磋商授权</w:t>
            </w:r>
          </w:p>
        </w:tc>
        <w:tc>
          <w:tcPr>
            <w:tcW w:type="dxa" w:w="3322"/>
          </w:tcPr>
          <w:p>
            <w:pPr>
              <w:pStyle w:val="null3"/>
            </w:pPr>
            <w:r>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授权代表本单位证明（养老保险缴纳证明或劳动合同）；</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签字或盖章</w:t>
            </w:r>
          </w:p>
        </w:tc>
        <w:tc>
          <w:tcPr>
            <w:tcW w:type="dxa" w:w="3322"/>
          </w:tcPr>
          <w:p>
            <w:pPr>
              <w:pStyle w:val="null3"/>
            </w:pPr>
            <w:r>
              <w:rPr/>
              <w:t>磋商响应文件加盖供应商单位公章或签字</w:t>
            </w:r>
          </w:p>
        </w:tc>
        <w:tc>
          <w:tcPr>
            <w:tcW w:type="dxa" w:w="1661"/>
          </w:tcPr>
          <w:p>
            <w:pPr>
              <w:pStyle w:val="null3"/>
            </w:pPr>
            <w:r>
              <w:rPr/>
              <w:t>响应文件封面 响应函</w:t>
            </w:r>
          </w:p>
        </w:tc>
      </w:tr>
      <w:tr>
        <w:tc>
          <w:tcPr>
            <w:tcW w:type="dxa" w:w="831"/>
          </w:tcPr>
          <w:p>
            <w:pPr>
              <w:pStyle w:val="null3"/>
            </w:pPr>
            <w:r>
              <w:rPr/>
              <w:t>3</w:t>
            </w:r>
          </w:p>
        </w:tc>
        <w:tc>
          <w:tcPr>
            <w:tcW w:type="dxa" w:w="2492"/>
          </w:tcPr>
          <w:p>
            <w:pPr>
              <w:pStyle w:val="null3"/>
            </w:pPr>
            <w:r>
              <w:rPr/>
              <w:t>有效期</w:t>
            </w:r>
          </w:p>
        </w:tc>
        <w:tc>
          <w:tcPr>
            <w:tcW w:type="dxa" w:w="3322"/>
          </w:tcPr>
          <w:p>
            <w:pPr>
              <w:pStyle w:val="null3"/>
            </w:pPr>
            <w:r>
              <w:rPr/>
              <w:t>有效期达到磋商文件的要求</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选择性报价</w:t>
            </w:r>
          </w:p>
        </w:tc>
        <w:tc>
          <w:tcPr>
            <w:tcW w:type="dxa" w:w="3322"/>
          </w:tcPr>
          <w:p>
            <w:pPr>
              <w:pStyle w:val="null3"/>
            </w:pPr>
            <w:r>
              <w:rPr/>
              <w:t>供应商磋商报价未出现选择性报价</w:t>
            </w:r>
          </w:p>
        </w:tc>
        <w:tc>
          <w:tcPr>
            <w:tcW w:type="dxa" w:w="1661"/>
          </w:tcPr>
          <w:p>
            <w:pPr>
              <w:pStyle w:val="null3"/>
            </w:pPr>
            <w:r>
              <w:rPr/>
              <w:t>报价明细表 标的清单 报价表</w:t>
            </w:r>
          </w:p>
        </w:tc>
      </w:tr>
      <w:tr>
        <w:tc>
          <w:tcPr>
            <w:tcW w:type="dxa" w:w="831"/>
          </w:tcPr>
          <w:p>
            <w:pPr>
              <w:pStyle w:val="null3"/>
            </w:pPr>
            <w:r>
              <w:rPr/>
              <w:t>5</w:t>
            </w:r>
          </w:p>
        </w:tc>
        <w:tc>
          <w:tcPr>
            <w:tcW w:type="dxa" w:w="2492"/>
          </w:tcPr>
          <w:p>
            <w:pPr>
              <w:pStyle w:val="null3"/>
            </w:pPr>
            <w:r>
              <w:rPr/>
              <w:t>报价不得超出采购预算或最高限价</w:t>
            </w:r>
          </w:p>
        </w:tc>
        <w:tc>
          <w:tcPr>
            <w:tcW w:type="dxa" w:w="3322"/>
          </w:tcPr>
          <w:p>
            <w:pPr>
              <w:pStyle w:val="null3"/>
            </w:pPr>
            <w:r>
              <w:rPr/>
              <w:t>磋商报价未超出采购预算或最高限价</w:t>
            </w:r>
          </w:p>
        </w:tc>
        <w:tc>
          <w:tcPr>
            <w:tcW w:type="dxa" w:w="1661"/>
          </w:tcPr>
          <w:p>
            <w:pPr>
              <w:pStyle w:val="null3"/>
            </w:pPr>
            <w:r>
              <w:rPr/>
              <w:t>标的清单 报价表</w:t>
            </w:r>
          </w:p>
        </w:tc>
      </w:tr>
      <w:tr>
        <w:tc>
          <w:tcPr>
            <w:tcW w:type="dxa" w:w="831"/>
          </w:tcPr>
          <w:p>
            <w:pPr>
              <w:pStyle w:val="null3"/>
            </w:pPr>
            <w:r>
              <w:rPr/>
              <w:t>6</w:t>
            </w:r>
          </w:p>
        </w:tc>
        <w:tc>
          <w:tcPr>
            <w:tcW w:type="dxa" w:w="2492"/>
          </w:tcPr>
          <w:p>
            <w:pPr>
              <w:pStyle w:val="null3"/>
            </w:pPr>
            <w:r>
              <w:rPr/>
              <w:t>响应文件中技术、服务内容须达到采购要求，不得出现重大负偏差，降低服务要求</w:t>
            </w:r>
          </w:p>
        </w:tc>
        <w:tc>
          <w:tcPr>
            <w:tcW w:type="dxa" w:w="3322"/>
          </w:tcPr>
          <w:p>
            <w:pPr>
              <w:pStyle w:val="null3"/>
            </w:pPr>
            <w:r>
              <w:rPr/>
              <w:t>技术、服务内容达到采购要求，未出现重大负偏差，未降低了服务要求</w:t>
            </w:r>
          </w:p>
        </w:tc>
        <w:tc>
          <w:tcPr>
            <w:tcW w:type="dxa" w:w="1661"/>
          </w:tcPr>
          <w:p>
            <w:pPr>
              <w:pStyle w:val="null3"/>
            </w:pPr>
            <w:r>
              <w:rPr/>
              <w:t>采购需求偏离表</w:t>
            </w:r>
          </w:p>
        </w:tc>
      </w:tr>
      <w:tr>
        <w:tc>
          <w:tcPr>
            <w:tcW w:type="dxa" w:w="831"/>
          </w:tcPr>
          <w:p>
            <w:pPr>
              <w:pStyle w:val="null3"/>
            </w:pPr>
            <w:r>
              <w:rPr/>
              <w:t>7</w:t>
            </w:r>
          </w:p>
        </w:tc>
        <w:tc>
          <w:tcPr>
            <w:tcW w:type="dxa" w:w="2492"/>
          </w:tcPr>
          <w:p>
            <w:pPr>
              <w:pStyle w:val="null3"/>
            </w:pPr>
            <w:r>
              <w:rPr/>
              <w:t>响应文件中不得附加了采购人难以接受的条件</w:t>
            </w:r>
          </w:p>
        </w:tc>
        <w:tc>
          <w:tcPr>
            <w:tcW w:type="dxa" w:w="3322"/>
          </w:tcPr>
          <w:p>
            <w:pPr>
              <w:pStyle w:val="null3"/>
            </w:pPr>
            <w:r>
              <w:rPr/>
              <w:t>响应文件中未附加采购人难以接受的条件</w:t>
            </w:r>
          </w:p>
        </w:tc>
        <w:tc>
          <w:tcPr>
            <w:tcW w:type="dxa" w:w="1661"/>
          </w:tcPr>
          <w:p>
            <w:pPr>
              <w:pStyle w:val="null3"/>
            </w:pPr>
            <w:r>
              <w:rPr/>
              <w:t>商务要求（合同草案条款）偏离表</w:t>
            </w:r>
          </w:p>
        </w:tc>
      </w:tr>
      <w:tr>
        <w:tc>
          <w:tcPr>
            <w:tcW w:type="dxa" w:w="831"/>
          </w:tcPr>
          <w:p>
            <w:pPr>
              <w:pStyle w:val="null3"/>
            </w:pPr>
            <w:r>
              <w:rPr/>
              <w:t>8</w:t>
            </w:r>
          </w:p>
        </w:tc>
        <w:tc>
          <w:tcPr>
            <w:tcW w:type="dxa" w:w="2492"/>
          </w:tcPr>
          <w:p>
            <w:pPr>
              <w:pStyle w:val="null3"/>
            </w:pPr>
            <w:r>
              <w:rPr/>
              <w:t>信用查询</w:t>
            </w:r>
          </w:p>
        </w:tc>
        <w:tc>
          <w:tcPr>
            <w:tcW w:type="dxa" w:w="3322"/>
          </w:tcPr>
          <w:p>
            <w:pPr>
              <w:pStyle w:val="null3"/>
            </w:pPr>
            <w:r>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t>响应函</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商务响应</w:t>
            </w:r>
          </w:p>
        </w:tc>
        <w:tc>
          <w:tcPr>
            <w:tcW w:type="dxa" w:w="2492"/>
          </w:tcPr>
          <w:p>
            <w:pPr>
              <w:pStyle w:val="null3"/>
            </w:pPr>
            <w:r>
              <w:rPr/>
              <w:t>根据供应商对合同草案条款的响应情况进行评审，按其响应程度计0～5分。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磋商方案</w:t>
            </w:r>
          </w:p>
        </w:tc>
      </w:tr>
      <w:tr>
        <w:tc>
          <w:tcPr>
            <w:tcW w:type="dxa" w:w="831"/>
            <w:vMerge/>
          </w:tcPr>
          <w:p/>
        </w:tc>
        <w:tc>
          <w:tcPr>
            <w:tcW w:type="dxa" w:w="1661"/>
          </w:tcPr>
          <w:p>
            <w:pPr>
              <w:pStyle w:val="null3"/>
            </w:pPr>
            <w:r>
              <w:rPr/>
              <w:t>服务方案</w:t>
            </w:r>
          </w:p>
        </w:tc>
        <w:tc>
          <w:tcPr>
            <w:tcW w:type="dxa" w:w="2492"/>
          </w:tcPr>
          <w:p>
            <w:pPr>
              <w:pStyle w:val="null3"/>
            </w:pPr>
            <w:r>
              <w:rPr/>
              <w:t>1、根据供应商对于本项目环卫车辆的年检服务整体需求的理解程度、实施步骤准确性进行评审，按其响应程度计0～5分。 2、提供年检服务计划书详细、合理、全面，按其响应程度计0～5分。 3、针对不同车型提供年检服务方案，方案考虑全面，有效，按其响应程度计0～5分。 4、针对老旧车辆提供年检服务方案，方案考虑全面，有效，按其响应程度计0～5分。 5、针对年检车辆安全事故处理措施，包括：意外伤害赔偿、风险规避措施，按其响应程度计0～5分。 6、提供年检车辆管理方案，按其响应程度计0～5分。</w:t>
            </w:r>
          </w:p>
        </w:tc>
        <w:tc>
          <w:tcPr>
            <w:tcW w:type="dxa" w:w="831"/>
          </w:tcPr>
          <w:p>
            <w:pPr>
              <w:pStyle w:val="null3"/>
              <w:jc w:val="right"/>
            </w:pPr>
            <w:r>
              <w:rPr/>
              <w:t>30.0000</w:t>
            </w:r>
          </w:p>
        </w:tc>
        <w:tc>
          <w:tcPr>
            <w:tcW w:type="dxa" w:w="831"/>
          </w:tcPr>
          <w:p>
            <w:pPr>
              <w:pStyle w:val="null3"/>
            </w:pPr>
            <w:r>
              <w:rPr/>
              <w:t>主观</w:t>
            </w:r>
          </w:p>
        </w:tc>
        <w:tc>
          <w:tcPr>
            <w:tcW w:type="dxa" w:w="1661"/>
          </w:tcPr>
          <w:p>
            <w:pPr>
              <w:pStyle w:val="null3"/>
            </w:pPr>
            <w:r>
              <w:rPr/>
              <w:t>磋商方案</w:t>
            </w:r>
          </w:p>
        </w:tc>
      </w:tr>
      <w:tr>
        <w:tc>
          <w:tcPr>
            <w:tcW w:type="dxa" w:w="831"/>
            <w:vMerge/>
          </w:tcPr>
          <w:p/>
        </w:tc>
        <w:tc>
          <w:tcPr>
            <w:tcW w:type="dxa" w:w="1661"/>
          </w:tcPr>
          <w:p>
            <w:pPr>
              <w:pStyle w:val="null3"/>
            </w:pPr>
            <w:r>
              <w:rPr/>
              <w:t>企业管理</w:t>
            </w:r>
          </w:p>
        </w:tc>
        <w:tc>
          <w:tcPr>
            <w:tcW w:type="dxa" w:w="2492"/>
          </w:tcPr>
          <w:p>
            <w:pPr>
              <w:pStyle w:val="null3"/>
            </w:pPr>
            <w:r>
              <w:rPr/>
              <w:t>1、企业经营体制健全，信誉良好，按其响应程度计0～5分。 2、具有详细的内部管理架构、工作流程、信息反馈渠道。按其响应程度计0～5分。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磋商方案</w:t>
            </w:r>
          </w:p>
        </w:tc>
      </w:tr>
      <w:tr>
        <w:tc>
          <w:tcPr>
            <w:tcW w:type="dxa" w:w="831"/>
            <w:vMerge/>
          </w:tcPr>
          <w:p/>
        </w:tc>
        <w:tc>
          <w:tcPr>
            <w:tcW w:type="dxa" w:w="1661"/>
          </w:tcPr>
          <w:p>
            <w:pPr>
              <w:pStyle w:val="null3"/>
            </w:pPr>
            <w:r>
              <w:rPr/>
              <w:t>服务保障</w:t>
            </w:r>
          </w:p>
        </w:tc>
        <w:tc>
          <w:tcPr>
            <w:tcW w:type="dxa" w:w="2492"/>
          </w:tcPr>
          <w:p>
            <w:pPr>
              <w:pStyle w:val="null3"/>
            </w:pPr>
            <w:r>
              <w:rPr/>
              <w:t>1、熟悉车辆年检流程，对年检实施步骤表述详细清楚，并能够完全保障本项目车辆年检工作顺利实施。按其响应程度计0～5分。 2、针对需要复检的车辆，提供复检车辆的检测方案，按其响应程度计0～5分。 3、提供车辆安全保障措施，保障车辆在年检过程中不被损坏，按其响应程度计0～5分。 4、年检车辆审验地址，遵循相对曲江新区环卫车队就近审验原则，按其响应程度计0～5分。 5、针对不同类型车辆承诺具体的年检时限，根据时限长短计0～5分。</w:t>
            </w:r>
          </w:p>
        </w:tc>
        <w:tc>
          <w:tcPr>
            <w:tcW w:type="dxa" w:w="831"/>
          </w:tcPr>
          <w:p>
            <w:pPr>
              <w:pStyle w:val="null3"/>
              <w:jc w:val="right"/>
            </w:pPr>
            <w:r>
              <w:rPr/>
              <w:t>25.0000</w:t>
            </w:r>
          </w:p>
        </w:tc>
        <w:tc>
          <w:tcPr>
            <w:tcW w:type="dxa" w:w="831"/>
          </w:tcPr>
          <w:p>
            <w:pPr>
              <w:pStyle w:val="null3"/>
            </w:pPr>
            <w:r>
              <w:rPr/>
              <w:t>主观</w:t>
            </w:r>
          </w:p>
        </w:tc>
        <w:tc>
          <w:tcPr>
            <w:tcW w:type="dxa" w:w="1661"/>
          </w:tcPr>
          <w:p>
            <w:pPr>
              <w:pStyle w:val="null3"/>
            </w:pPr>
            <w:r>
              <w:rPr/>
              <w:t>磋商方案</w:t>
            </w:r>
          </w:p>
        </w:tc>
      </w:tr>
      <w:tr>
        <w:tc>
          <w:tcPr>
            <w:tcW w:type="dxa" w:w="831"/>
            <w:vMerge/>
          </w:tcPr>
          <w:p/>
        </w:tc>
        <w:tc>
          <w:tcPr>
            <w:tcW w:type="dxa" w:w="1661"/>
          </w:tcPr>
          <w:p>
            <w:pPr>
              <w:pStyle w:val="null3"/>
            </w:pPr>
            <w:r>
              <w:rPr/>
              <w:t>人员配备</w:t>
            </w:r>
          </w:p>
        </w:tc>
        <w:tc>
          <w:tcPr>
            <w:tcW w:type="dxa" w:w="2492"/>
          </w:tcPr>
          <w:p>
            <w:pPr>
              <w:pStyle w:val="null3"/>
            </w:pPr>
            <w:r>
              <w:rPr/>
              <w:t>1、针对本项目所配人员应满足磋商文件要求，人员配制科学合理。按其响应程度计0～5分。 2、管理人员与工作人工作配合的保障措施。按响应程度计0～5分。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磋商方案</w:t>
            </w:r>
          </w:p>
        </w:tc>
      </w:tr>
      <w:tr>
        <w:tc>
          <w:tcPr>
            <w:tcW w:type="dxa" w:w="831"/>
            <w:vMerge/>
          </w:tcPr>
          <w:p/>
        </w:tc>
        <w:tc>
          <w:tcPr>
            <w:tcW w:type="dxa" w:w="1661"/>
          </w:tcPr>
          <w:p>
            <w:pPr>
              <w:pStyle w:val="null3"/>
            </w:pPr>
            <w:r>
              <w:rPr/>
              <w:t>业绩</w:t>
            </w:r>
          </w:p>
        </w:tc>
        <w:tc>
          <w:tcPr>
            <w:tcW w:type="dxa" w:w="2492"/>
          </w:tcPr>
          <w:p>
            <w:pPr>
              <w:pStyle w:val="null3"/>
            </w:pPr>
            <w:r>
              <w:rPr/>
              <w:t>供应商提供2021年1月至今同类项目业绩，业绩以合同或中标（成交）通知书为依据，响应文件中附有其证明资料，每提供一个业绩证明计2分，满分10分。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磋商方案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满足磋商文件要求且最后下浮率最高的供应商的价格为磋商基准价。各供应商的价格分统一按照下列公式计算：磋商报价得分=（最后磋商报价/磋商基准价）×价格权值</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详见附件：报价明细表</w:t>
      </w:r>
    </w:p>
    <w:p>
      <w:pPr>
        <w:pStyle w:val="null3"/>
        <w:ind w:firstLine="960"/>
      </w:pPr>
      <w:r>
        <w:rPr/>
        <w:t>详见附件：采购需求偏离表</w:t>
      </w:r>
    </w:p>
    <w:p>
      <w:pPr>
        <w:pStyle w:val="null3"/>
        <w:ind w:firstLine="960"/>
      </w:pPr>
      <w:r>
        <w:rPr/>
        <w:t>详见附件：商务要求（合同草案条款）偏离表</w:t>
      </w:r>
    </w:p>
    <w:p>
      <w:pPr>
        <w:pStyle w:val="null3"/>
        <w:ind w:firstLine="960"/>
      </w:pPr>
      <w:r>
        <w:rPr/>
        <w:t>详见附件：资格证明文件</w:t>
      </w:r>
    </w:p>
    <w:p>
      <w:pPr>
        <w:pStyle w:val="null3"/>
        <w:ind w:firstLine="960"/>
      </w:pPr>
      <w:r>
        <w:rPr/>
        <w:t>详见附件：磋商方案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