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曲江新区园地、林地、草地分等定级及基准地价制定项目</w:t>
      </w:r>
    </w:p>
    <w:p>
      <w:pPr>
        <w:pStyle w:val="null3"/>
        <w:jc w:val="center"/>
        <w:outlineLvl w:val="2"/>
      </w:pPr>
      <w:r>
        <w:rPr>
          <w:sz w:val="28"/>
          <w:b/>
        </w:rPr>
        <w:t>采购项目编号：</w:t>
      </w:r>
      <w:r>
        <w:rPr>
          <w:sz w:val="28"/>
          <w:b/>
        </w:rPr>
        <w:t>ZCZX2024-CS-151</w:t>
      </w:r>
      <w:r>
        <w:br/>
      </w:r>
      <w:r>
        <w:br/>
      </w:r>
      <w:r>
        <w:br/>
      </w:r>
    </w:p>
    <w:p>
      <w:pPr>
        <w:pStyle w:val="null3"/>
        <w:jc w:val="center"/>
        <w:outlineLvl w:val="2"/>
      </w:pPr>
      <w:r>
        <w:rPr>
          <w:sz w:val="28"/>
          <w:b/>
        </w:rPr>
        <w:t>西安曲江新区土地储备中心</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2024年08月08日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西安曲江新区土地储备中心</w:t>
      </w:r>
      <w:r>
        <w:rPr/>
        <w:t>委托，拟对</w:t>
      </w:r>
      <w:r>
        <w:rPr/>
        <w:t>曲江新区园地、林地、草地分等定级及基准地价制定项目</w:t>
      </w:r>
      <w:r>
        <w:rPr/>
        <w:t>采用竞争性磋商采购方式进行采购，兹邀请供应商参加本项目的竞争性磋商。</w:t>
      </w:r>
    </w:p>
    <w:p>
      <w:pPr>
        <w:pStyle w:val="null3"/>
        <w:outlineLvl w:val="2"/>
      </w:pPr>
      <w:r>
        <w:rPr>
          <w:sz w:val="28"/>
          <w:b/>
        </w:rPr>
        <w:t>一、项目编号：</w:t>
      </w:r>
      <w:r>
        <w:rPr>
          <w:sz w:val="28"/>
          <w:b/>
        </w:rPr>
        <w:t>ZCZX2024-CS-151</w:t>
      </w:r>
    </w:p>
    <w:p>
      <w:pPr>
        <w:pStyle w:val="null3"/>
        <w:outlineLvl w:val="2"/>
      </w:pPr>
      <w:r>
        <w:rPr>
          <w:sz w:val="28"/>
          <w:b/>
        </w:rPr>
        <w:t>二、项目名称：</w:t>
      </w:r>
      <w:r>
        <w:rPr>
          <w:sz w:val="28"/>
          <w:b/>
        </w:rPr>
        <w:t>曲江新区园地、林地、草地分等定级及基准地价制定项目</w:t>
      </w:r>
    </w:p>
    <w:p>
      <w:pPr>
        <w:pStyle w:val="null3"/>
        <w:outlineLvl w:val="2"/>
      </w:pPr>
      <w:r>
        <w:rPr>
          <w:sz w:val="28"/>
          <w:b/>
        </w:rPr>
        <w:t>三、磋商项目简介</w:t>
      </w:r>
    </w:p>
    <w:p>
      <w:pPr>
        <w:pStyle w:val="null3"/>
        <w:ind w:firstLine="480"/>
      </w:pPr>
      <w:r>
        <w:rPr/>
        <w:t>按照园地、林地、草地分等定级和估价技术规程与标准，在曲江新区范围内开展园地、林地、草地分等定级和基准地价制定工作。通过对曲江新区园地、林地、草地分等定级和基准地价评估，进一步完善自然资源资产分等定级价格评估制度，建立政府公示价格体系，为自然资源“两统一”管理提供重要支撑。</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采购包1（曲江新区园地、林地、草地分等定级及基准地价制定项目）：属于专门面向中小企业采购。</w:t>
      </w:r>
    </w:p>
    <w:p>
      <w:pPr>
        <w:pStyle w:val="null3"/>
        <w:ind w:firstLine="480"/>
      </w:pPr>
      <w:r>
        <w:rPr/>
        <w:t>（三）本项目的特定资格要求：</w:t>
      </w:r>
    </w:p>
    <w:p>
      <w:pPr>
        <w:pStyle w:val="null3"/>
      </w:pPr>
      <w:r>
        <w:rPr/>
        <w:t>采购包1：</w:t>
      </w:r>
    </w:p>
    <w:p>
      <w:pPr>
        <w:pStyle w:val="null3"/>
      </w:pPr>
      <w:r>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t>2、资质：供应商应具有土地规划乙级以上（含乙级）资质。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西安曲江新区土地储备中心</w:t>
      </w:r>
    </w:p>
    <w:p>
      <w:pPr>
        <w:pStyle w:val="null3"/>
      </w:pPr>
      <w:r>
        <w:rPr/>
        <w:t xml:space="preserve"> 地址： </w:t>
      </w:r>
      <w:r>
        <w:rPr/>
        <w:t>西安曲江政务中心B-813</w:t>
      </w:r>
    </w:p>
    <w:p>
      <w:pPr>
        <w:pStyle w:val="null3"/>
      </w:pPr>
      <w:r>
        <w:rPr/>
        <w:t xml:space="preserve"> 邮编： </w:t>
      </w:r>
      <w:r>
        <w:rPr/>
        <w:t>710000</w:t>
      </w:r>
    </w:p>
    <w:p>
      <w:pPr>
        <w:pStyle w:val="null3"/>
      </w:pPr>
      <w:r>
        <w:rPr/>
        <w:t xml:space="preserve"> 联系人： </w:t>
      </w:r>
      <w:r>
        <w:rPr/>
        <w:t>屈工</w:t>
      </w:r>
    </w:p>
    <w:p>
      <w:pPr>
        <w:pStyle w:val="null3"/>
      </w:pPr>
      <w:r>
        <w:rPr/>
        <w:t xml:space="preserve"> 联系电话： </w:t>
      </w:r>
      <w:r>
        <w:rPr/>
        <w:t>029-81201195</w:t>
      </w:r>
    </w:p>
    <w:p>
      <w:pPr>
        <w:pStyle w:val="null3"/>
        <w:outlineLvl w:val="3"/>
      </w:pPr>
      <w:r>
        <w:rPr>
          <w:sz w:val="24"/>
          <w:b/>
        </w:rPr>
        <w:t>代理机构：</w:t>
      </w:r>
      <w:r>
        <w:rPr>
          <w:sz w:val="24"/>
          <w:b/>
        </w:rPr>
        <w:t>陕西众诚致信管理咨询有限公司</w:t>
      </w:r>
    </w:p>
    <w:p>
      <w:pPr>
        <w:pStyle w:val="null3"/>
      </w:pPr>
      <w:r>
        <w:rPr/>
        <w:t xml:space="preserve"> 地址： </w:t>
      </w:r>
      <w:r>
        <w:rPr/>
        <w:t>西安曲江新区翠华南路1688号创意盒子13层1304室</w:t>
      </w:r>
    </w:p>
    <w:p>
      <w:pPr>
        <w:pStyle w:val="null3"/>
      </w:pPr>
      <w:r>
        <w:rPr/>
        <w:t xml:space="preserve"> 邮编： </w:t>
      </w:r>
      <w:r>
        <w:rPr/>
        <w:t>710061</w:t>
      </w:r>
    </w:p>
    <w:p>
      <w:pPr>
        <w:pStyle w:val="null3"/>
      </w:pPr>
      <w:r>
        <w:rPr/>
        <w:t xml:space="preserve"> 联系人： </w:t>
      </w:r>
      <w:r>
        <w:rPr/>
        <w:t>吴芳超、姚海麟</w:t>
      </w:r>
    </w:p>
    <w:p>
      <w:pPr>
        <w:pStyle w:val="null3"/>
      </w:pPr>
      <w:r>
        <w:rPr/>
        <w:t xml:space="preserve"> 联系电话： </w:t>
      </w:r>
      <w:r>
        <w:rPr/>
        <w:t>029-89565998</w:t>
      </w:r>
    </w:p>
    <w:p>
      <w:pPr>
        <w:pStyle w:val="null3"/>
        <w:outlineLvl w:val="3"/>
      </w:pPr>
      <w:r>
        <w:rPr>
          <w:sz w:val="24"/>
          <w:b/>
        </w:rPr>
        <w:t>采购监督机构：</w:t>
      </w:r>
      <w:r>
        <w:rPr>
          <w:sz w:val="24"/>
          <w:b/>
        </w:rPr>
        <w:t>西安曲江新区财政局</w:t>
      </w:r>
    </w:p>
    <w:p>
      <w:pPr>
        <w:pStyle w:val="null3"/>
        <w:ind w:firstLine="480"/>
      </w:pPr>
      <w:r>
        <w:rPr/>
        <w:t>联系人：</w:t>
      </w:r>
      <w:r>
        <w:rPr/>
        <w:t>寇雪莲</w:t>
      </w:r>
    </w:p>
    <w:p>
      <w:pPr>
        <w:pStyle w:val="null3"/>
        <w:ind w:firstLine="480"/>
      </w:pPr>
      <w:r>
        <w:rPr/>
        <w:t>联系电话：</w:t>
      </w:r>
      <w:r>
        <w:rPr/>
        <w:t>68660321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西安曲江新区土地储备中心</w:t>
      </w:r>
      <w:r>
        <w:rPr/>
        <w:t>和</w:t>
      </w:r>
      <w:r>
        <w:rPr/>
        <w:t>陕西众诚致信管理咨询有限公司</w:t>
      </w:r>
      <w:r>
        <w:rPr/>
        <w:t>享有。对磋商文件中供应商参加本次政府采购活动应当具备的条件，磋商项目技术、服务、商务及其他要求，评审细则及标准由</w:t>
      </w:r>
      <w:r>
        <w:rPr/>
        <w:t>西安曲江新区土地储备中心</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西安曲江新区土地储备中心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项目成果需通过自然资源主管部门的验收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联系人：吴芳超、姚海麟</w:t>
      </w:r>
    </w:p>
    <w:p>
      <w:pPr>
        <w:pStyle w:val="null3"/>
      </w:pPr>
      <w:r>
        <w:rPr/>
        <w:t>联系电话：029-89565998</w:t>
      </w:r>
    </w:p>
    <w:p>
      <w:pPr>
        <w:pStyle w:val="null3"/>
      </w:pPr>
      <w:r>
        <w:rPr/>
        <w:t>地址：西安曲江新区翠华南路1688号创意盒子13层1304室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按照园地、林地、草地分等定级和估价技术规程与标准，在曲江新区范围内开展园地、林地、草地分等定级和基准地价制定工作。通过对曲江新区园地、林地、草地分等定级和基准地价评估，进一步完善自然资源资产分等定级价格评估制度，建立政府公示价格体系，为自然资源“两统一”管理提供重要支撑。</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曲江新区园地、林地、草地分等定级及基准地价制定项目</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标的名称：曲江新区园地、林地、草地分等定级及基准地价制定项目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一、服务内容</w:t>
            </w:r>
          </w:p>
          <w:p>
            <w:pPr>
              <w:pStyle w:val="null3"/>
              <w:jc w:val="both"/>
            </w:pPr>
            <w:r>
              <w:rPr>
                <w:rFonts w:ascii="宋体" w:hAnsi="宋体" w:cs="宋体" w:eastAsia="宋体"/>
                <w:sz w:val="21"/>
              </w:rPr>
              <w:t>1、</w:t>
            </w:r>
            <w:r>
              <w:rPr>
                <w:rFonts w:ascii="宋体" w:hAnsi="宋体" w:cs="宋体" w:eastAsia="宋体"/>
                <w:sz w:val="21"/>
              </w:rPr>
              <w:t>完成曲江新区范围内园地、林地、草地分等定级基础资料调查分析和土地价格调查分析。</w:t>
            </w:r>
          </w:p>
          <w:p>
            <w:pPr>
              <w:pStyle w:val="null3"/>
              <w:jc w:val="both"/>
            </w:pPr>
            <w:r>
              <w:rPr>
                <w:rFonts w:ascii="宋体" w:hAnsi="宋体" w:cs="宋体" w:eastAsia="宋体"/>
                <w:sz w:val="21"/>
              </w:rPr>
              <w:t>2、</w:t>
            </w:r>
            <w:r>
              <w:rPr>
                <w:rFonts w:ascii="宋体" w:hAnsi="宋体" w:cs="宋体" w:eastAsia="宋体"/>
                <w:sz w:val="21"/>
              </w:rPr>
              <w:t>在曲江新区范围内开展园地、林地、草地资源分等定级工作，并制定基准地价和相关修正体系。</w:t>
            </w:r>
          </w:p>
          <w:p>
            <w:pPr>
              <w:pStyle w:val="null3"/>
              <w:jc w:val="both"/>
            </w:pPr>
            <w:r>
              <w:rPr>
                <w:rFonts w:ascii="宋体" w:hAnsi="宋体" w:cs="宋体" w:eastAsia="宋体"/>
                <w:sz w:val="21"/>
              </w:rPr>
              <w:t>3、</w:t>
            </w:r>
            <w:r>
              <w:rPr>
                <w:rFonts w:ascii="宋体" w:hAnsi="宋体" w:cs="宋体" w:eastAsia="宋体"/>
                <w:sz w:val="21"/>
              </w:rPr>
              <w:t>编制分等定级和基准地价评价成果，包括文字成果、图件成果和数据成果。</w:t>
            </w:r>
          </w:p>
          <w:p>
            <w:pPr>
              <w:pStyle w:val="null3"/>
              <w:jc w:val="both"/>
            </w:pPr>
            <w:r>
              <w:rPr>
                <w:rFonts w:ascii="宋体" w:hAnsi="宋体" w:cs="宋体" w:eastAsia="宋体"/>
                <w:sz w:val="21"/>
              </w:rPr>
              <w:t>二、服务要求</w:t>
            </w:r>
          </w:p>
          <w:p>
            <w:pPr>
              <w:pStyle w:val="null3"/>
              <w:jc w:val="both"/>
            </w:pPr>
            <w:r>
              <w:rPr>
                <w:rFonts w:ascii="宋体" w:hAnsi="宋体" w:cs="宋体" w:eastAsia="宋体"/>
                <w:sz w:val="21"/>
              </w:rPr>
              <w:t>项目成果符合行业标准以及采购人需求。</w:t>
            </w:r>
          </w:p>
          <w:p>
            <w:pPr>
              <w:pStyle w:val="null3"/>
              <w:jc w:val="both"/>
            </w:pPr>
            <w:r>
              <w:rPr>
                <w:rFonts w:ascii="宋体" w:hAnsi="宋体" w:cs="宋体" w:eastAsia="宋体"/>
                <w:sz w:val="21"/>
              </w:rPr>
              <w:t>三、进度要求</w:t>
            </w:r>
          </w:p>
          <w:p>
            <w:pPr>
              <w:pStyle w:val="null3"/>
              <w:jc w:val="both"/>
            </w:pPr>
            <w:r>
              <w:rPr>
                <w:rFonts w:ascii="宋体" w:hAnsi="宋体" w:cs="宋体" w:eastAsia="宋体"/>
                <w:sz w:val="21"/>
              </w:rPr>
              <w:t>按照省、市时间进度要求，完成曲江新区园地、林地、草地分等定级成果汇交和基准地价备案工作。</w:t>
            </w:r>
          </w:p>
          <w:p>
            <w:pPr>
              <w:pStyle w:val="null3"/>
              <w:jc w:val="both"/>
            </w:pPr>
            <w:r>
              <w:rPr>
                <w:rFonts w:ascii="宋体" w:hAnsi="宋体" w:cs="宋体" w:eastAsia="宋体"/>
                <w:sz w:val="21"/>
              </w:rPr>
              <w:t>四、成果交付要求</w:t>
            </w:r>
          </w:p>
          <w:p>
            <w:pPr>
              <w:pStyle w:val="null3"/>
              <w:jc w:val="both"/>
            </w:pPr>
            <w:r>
              <w:rPr>
                <w:rFonts w:ascii="宋体" w:hAnsi="宋体" w:cs="宋体" w:eastAsia="宋体"/>
                <w:sz w:val="21"/>
              </w:rPr>
              <w:t>1、文字成果</w:t>
            </w:r>
          </w:p>
          <w:p>
            <w:pPr>
              <w:pStyle w:val="null3"/>
              <w:jc w:val="both"/>
            </w:pPr>
            <w:r>
              <w:rPr>
                <w:rFonts w:ascii="宋体" w:hAnsi="宋体" w:cs="宋体" w:eastAsia="宋体"/>
                <w:sz w:val="21"/>
              </w:rPr>
              <w:t>曲江新区园地、林地、草地分等工作报告；曲江新区园地、林地、草地分等技术报告；曲江新区园地、林地、草地定级和基准地价制定工作报告；曲江新区园地、林地、草地定级和基准地价制定技术报告。</w:t>
            </w:r>
          </w:p>
          <w:p>
            <w:pPr>
              <w:pStyle w:val="null3"/>
              <w:jc w:val="both"/>
            </w:pPr>
            <w:r>
              <w:rPr>
                <w:rFonts w:ascii="宋体" w:hAnsi="宋体" w:cs="宋体" w:eastAsia="宋体"/>
                <w:sz w:val="21"/>
              </w:rPr>
              <w:t>2、图件成果</w:t>
            </w:r>
          </w:p>
          <w:p>
            <w:pPr>
              <w:pStyle w:val="null3"/>
              <w:jc w:val="both"/>
            </w:pPr>
            <w:r>
              <w:rPr>
                <w:rFonts w:ascii="宋体" w:hAnsi="宋体" w:cs="宋体" w:eastAsia="宋体"/>
                <w:sz w:val="21"/>
              </w:rPr>
              <w:t>中间成果图和最终成果图。</w:t>
            </w:r>
          </w:p>
          <w:p>
            <w:pPr>
              <w:pStyle w:val="null3"/>
              <w:jc w:val="both"/>
            </w:pPr>
            <w:r>
              <w:rPr>
                <w:rFonts w:ascii="宋体" w:hAnsi="宋体" w:cs="宋体" w:eastAsia="宋体"/>
                <w:sz w:val="21"/>
              </w:rPr>
              <w:t>3、数据成果</w:t>
            </w:r>
          </w:p>
          <w:p>
            <w:pPr>
              <w:pStyle w:val="null3"/>
              <w:jc w:val="both"/>
            </w:pPr>
            <w:r>
              <w:rPr>
                <w:rFonts w:ascii="宋体" w:hAnsi="宋体" w:cs="宋体" w:eastAsia="宋体"/>
                <w:sz w:val="21"/>
              </w:rPr>
              <w:t>包括园地、林地、草地分等结果汇总表；园地、林地、草地定级和基准地价结果汇总表；园地、林地、草地分等数据库；园地、林地、草地定级和基准地价数据库。</w:t>
            </w:r>
          </w:p>
          <w:p>
            <w:pPr>
              <w:pStyle w:val="null3"/>
              <w:jc w:val="both"/>
            </w:pPr>
            <w:r>
              <w:rPr>
                <w:rFonts w:ascii="宋体" w:hAnsi="宋体" w:cs="宋体" w:eastAsia="宋体"/>
                <w:sz w:val="21"/>
              </w:rPr>
              <w:t>以上资料提供纸质版</w:t>
            </w:r>
            <w:r>
              <w:rPr>
                <w:rFonts w:ascii="宋体" w:hAnsi="宋体" w:cs="宋体" w:eastAsia="宋体"/>
                <w:sz w:val="21"/>
              </w:rPr>
              <w:t>4份、电子版2份。</w:t>
            </w:r>
          </w:p>
        </w:tc>
      </w:tr>
    </w:tbl>
    <w:p>
      <w:pPr>
        <w:pStyle w:val="null3"/>
        <w:outlineLvl w:val="2"/>
      </w:pPr>
      <w:r>
        <w:rPr>
          <w:sz w:val="28"/>
          <w:b/>
        </w:rPr>
        <w:t>3.2.3人员配置要求</w:t>
      </w:r>
    </w:p>
    <w:p>
      <w:pPr>
        <w:pStyle w:val="null3"/>
      </w:pPr>
      <w:r>
        <w:rPr/>
        <w:t>采购包1：</w:t>
      </w:r>
    </w:p>
    <w:p>
      <w:pPr>
        <w:pStyle w:val="null3"/>
      </w:pPr>
      <w:r>
        <w:rPr/>
        <w:t>配备不少于6人的项目团队。</w:t>
      </w:r>
    </w:p>
    <w:p>
      <w:pPr>
        <w:pStyle w:val="null3"/>
        <w:outlineLvl w:val="2"/>
      </w:pPr>
      <w:r>
        <w:rPr>
          <w:sz w:val="28"/>
          <w:b/>
        </w:rPr>
        <w:t>3.2.4设施设备要求</w:t>
      </w:r>
    </w:p>
    <w:p>
      <w:pPr>
        <w:pStyle w:val="null3"/>
      </w:pPr>
      <w:r>
        <w:rPr/>
        <w:t>采购包1：</w:t>
      </w:r>
    </w:p>
    <w:p>
      <w:pPr>
        <w:pStyle w:val="null3"/>
      </w:pPr>
      <w:r>
        <w:rPr/>
        <w:t>具有专业工具、设备。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自合同签订之日起一年完成全部服务内容。项目成果需通过自然资源主管部门的验收。</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项目成果符合行业标准以及采购人需求。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合同签订后，服务初步成果形成前</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所有服务内容完成后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(1)乙方未按合同期限完成服务的，每逾期一日应向甲方承担合同总金额万分之二的违约金。 (2)乙方未按合同要求提供服务或服务质量未能满足本次采购要求，且在甲方规定时间内未能达到采购要求的，甲方有权终止合同和对乙方违约行为进行追究。甲方终止合同的，乙方应承担相当于合同总金额20%的违约金，造成甲方其他损失的，还应承担赔偿责任。</w:t>
      </w:r>
    </w:p>
    <w:p>
      <w:pPr>
        <w:pStyle w:val="null3"/>
        <w:outlineLvl w:val="2"/>
      </w:pPr>
      <w:r>
        <w:rPr>
          <w:sz w:val="28"/>
          <w:b/>
        </w:rPr>
        <w:t>3.4其他要求</w:t>
      </w:r>
    </w:p>
    <w:p>
      <w:pPr>
        <w:pStyle w:val="null3"/>
      </w:pPr>
      <w:r>
        <w:rPr/>
        <w:t>成交供应商在领取成交通知书前，需向采购代理机构提交纸质版响应文件二份，纸质版文件须为电子响应文件的打印版。</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 2023年经审计的财务报告或银行出具的资信证明）</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磋商授权</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t>资格证明资料</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供应商应具有土地规划乙级以上（含乙级）资质。</w:t>
            </w:r>
          </w:p>
        </w:tc>
        <w:tc>
          <w:tcPr>
            <w:tcW w:type="dxa" w:w="1661"/>
          </w:tcPr>
          <w:p>
            <w:pPr>
              <w:pStyle w:val="null3"/>
            </w:pPr>
            <w:r>
              <w:rPr/>
              <w:t>资格证明资料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响应报价明细表 标的清单 报价表</w:t>
            </w:r>
          </w:p>
        </w:tc>
      </w:tr>
      <w:tr>
        <w:tc>
          <w:tcPr>
            <w:tcW w:type="dxa" w:w="831"/>
          </w:tcPr>
          <w:p>
            <w:pPr>
              <w:pStyle w:val="null3"/>
            </w:pPr>
            <w:r>
              <w:rPr/>
              <w:t>2</w:t>
            </w:r>
          </w:p>
        </w:tc>
        <w:tc>
          <w:tcPr>
            <w:tcW w:type="dxa" w:w="2492"/>
          </w:tcPr>
          <w:p>
            <w:pPr>
              <w:pStyle w:val="null3"/>
            </w:pPr>
            <w:r>
              <w:rPr/>
              <w:t>单位公章</w:t>
            </w:r>
          </w:p>
        </w:tc>
        <w:tc>
          <w:tcPr>
            <w:tcW w:type="dxa" w:w="3322"/>
          </w:tcPr>
          <w:p>
            <w:pPr>
              <w:pStyle w:val="null3"/>
            </w:pPr>
            <w:r>
              <w:rPr/>
              <w:t>磋商响应文件加盖供应商单位公章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磋商响应文件按磋商文件要求法定代表人（或负责人）或其授权代表签字或盖章</w:t>
            </w:r>
          </w:p>
        </w:tc>
        <w:tc>
          <w:tcPr>
            <w:tcW w:type="dxa" w:w="1661"/>
          </w:tcPr>
          <w:p>
            <w:pPr>
              <w:pStyle w:val="null3"/>
            </w:pPr>
            <w:r>
              <w:rPr/>
              <w:t>采购需求偏离表 合同草案条款偏离表</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磋商报价未超出采购预算或最高限价</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服务内容</w:t>
            </w:r>
          </w:p>
        </w:tc>
        <w:tc>
          <w:tcPr>
            <w:tcW w:type="dxa" w:w="3322"/>
          </w:tcPr>
          <w:p>
            <w:pPr>
              <w:pStyle w:val="null3"/>
            </w:pPr>
            <w:r>
              <w:rPr/>
              <w:t>技术、服务内容达到采购要求，未出现重大负偏差，未降低了服务要求</w:t>
            </w:r>
          </w:p>
        </w:tc>
        <w:tc>
          <w:tcPr>
            <w:tcW w:type="dxa" w:w="1661"/>
          </w:tcPr>
          <w:p>
            <w:pPr>
              <w:pStyle w:val="null3"/>
            </w:pPr>
            <w:r>
              <w:rPr/>
              <w:t>采购需求偏离表</w:t>
            </w:r>
          </w:p>
        </w:tc>
      </w:tr>
      <w:tr>
        <w:tc>
          <w:tcPr>
            <w:tcW w:type="dxa" w:w="831"/>
          </w:tcPr>
          <w:p>
            <w:pPr>
              <w:pStyle w:val="null3"/>
            </w:pPr>
            <w:r>
              <w:rPr/>
              <w:t>8</w:t>
            </w:r>
          </w:p>
        </w:tc>
        <w:tc>
          <w:tcPr>
            <w:tcW w:type="dxa" w:w="2492"/>
          </w:tcPr>
          <w:p>
            <w:pPr>
              <w:pStyle w:val="null3"/>
            </w:pPr>
            <w:r>
              <w:rPr/>
              <w:t>响应文件中不得附加了采购人难以接受的条件</w:t>
            </w:r>
          </w:p>
        </w:tc>
        <w:tc>
          <w:tcPr>
            <w:tcW w:type="dxa" w:w="3322"/>
          </w:tcPr>
          <w:p>
            <w:pPr>
              <w:pStyle w:val="null3"/>
            </w:pPr>
            <w:r>
              <w:rPr/>
              <w:t>响应文件中未附加采购人难以接受的条件</w:t>
            </w:r>
          </w:p>
        </w:tc>
        <w:tc>
          <w:tcPr>
            <w:tcW w:type="dxa" w:w="1661"/>
          </w:tcPr>
          <w:p>
            <w:pPr>
              <w:pStyle w:val="null3"/>
            </w:pPr>
            <w:r>
              <w:rPr/>
              <w:t>合同草案条款偏离表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对本项目的理解</w:t>
            </w:r>
          </w:p>
        </w:tc>
        <w:tc>
          <w:tcPr>
            <w:tcW w:type="dxa" w:w="2492"/>
          </w:tcPr>
          <w:p>
            <w:pPr>
              <w:pStyle w:val="null3"/>
            </w:pPr>
            <w:r>
              <w:rPr/>
              <w:t>1、供应商对本项目的理解程度，按其响应程度计0～5分。 2、对本项目发展目标与指标体系的分析。按其响应程度计0～5分。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1、园地、林地、草地分等总体服务方案，按其响应程度计0～5分。 2、园地、林地、草地定级及基准地价制定服务方案，按其响应程度计0～5分。 3、对于制定的内容、重点及难点具有清晰准确的认识，按其响应程度计0～5分。 4、成果交付方案完整合理，按其响应程度计0～5分。 5、供应商针对本项目实施提出切实可行的合理化建议，按其响应程度计0～5分。 6、针对本项目提出服务承诺，按其响应程度计0～5分。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服务保障措施</w:t>
            </w:r>
          </w:p>
        </w:tc>
        <w:tc>
          <w:tcPr>
            <w:tcW w:type="dxa" w:w="2492"/>
          </w:tcPr>
          <w:p>
            <w:pPr>
              <w:pStyle w:val="null3"/>
            </w:pPr>
            <w:r>
              <w:rPr/>
              <w:t>1、供应商针对本项目有健全的内部管理体系和内控制度，按其响应程度计0～5分。 2、供应商针对本项目的实施提供专业的工具、设备清单，按其响应程度计0～5分。 3、供应商提供针对项目实施过程中的安全保障措施，按其响应程度计0～5分。 4、针对本项目进度保障措施，按其响应程度计0～5分。 5、针对本项目保密措施，按其响应程度计0～5分。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1、根据拟派技术人员配置情况（需涵盖土地、规划、农业、地理信息、测绘等）进行评审，按其响应程度计0～5分。 2、项目负责人掌握相关专业工作内容 ，具有高级工程师技术职称（或同等职称），得5分；具有中级技术职称（或同等职称），得2.5分；不提供不得分。 3、项目负责人从业经验情况进行评审，按其响应程度计0～5分。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供应商提供自2020年1月1日至今类似项目业绩，磋商响应文件中附有其业绩证明材料，业绩以合同为依据，每提供一个计1分，满分10分。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价格</w:t>
            </w:r>
          </w:p>
        </w:tc>
        <w:tc>
          <w:tcPr>
            <w:tcW w:type="dxa" w:w="2492"/>
          </w:tcPr>
          <w:p>
            <w:pPr>
              <w:pStyle w:val="null3"/>
            </w:pPr>
            <w:r>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详见附件：采购需求偏离表</w:t>
      </w:r>
    </w:p>
    <w:p>
      <w:pPr>
        <w:pStyle w:val="null3"/>
        <w:ind w:firstLine="960"/>
      </w:pPr>
      <w:r>
        <w:rPr/>
        <w:t>详见附件：合同草案条款偏离表</w:t>
      </w:r>
    </w:p>
    <w:p>
      <w:pPr>
        <w:pStyle w:val="null3"/>
        <w:ind w:firstLine="960"/>
      </w:pPr>
      <w:r>
        <w:rPr/>
        <w:t>详见附件：供应商承诺</w:t>
      </w:r>
    </w:p>
    <w:p>
      <w:pPr>
        <w:pStyle w:val="null3"/>
        <w:ind w:firstLine="960"/>
      </w:pPr>
      <w:r>
        <w:rPr/>
        <w:t>详见附件：响应报价明细表</w:t>
      </w:r>
    </w:p>
    <w:p>
      <w:pPr>
        <w:pStyle w:val="null3"/>
        <w:ind w:firstLine="960"/>
      </w:pPr>
      <w:r>
        <w:rPr/>
        <w:t>详见附件：资格证明资料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