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曲江新区城市管理工作人员人身意外伤害保险服务项目(二次)</w:t>
      </w:r>
    </w:p>
    <w:p>
      <w:pPr>
        <w:pStyle w:val="null3"/>
        <w:jc w:val="center"/>
        <w:outlineLvl w:val="2"/>
      </w:pPr>
      <w:r>
        <w:rPr>
          <w:sz w:val="28"/>
          <w:b/>
        </w:rPr>
        <w:t>采购项目编号：</w:t>
      </w:r>
      <w:r>
        <w:rPr>
          <w:sz w:val="28"/>
          <w:b/>
        </w:rPr>
        <w:t>ZCZX2024-CS-139.1B1</w:t>
      </w:r>
      <w:r>
        <w:br/>
      </w:r>
      <w:r>
        <w:br/>
      </w:r>
      <w:r>
        <w:br/>
      </w:r>
    </w:p>
    <w:p>
      <w:pPr>
        <w:pStyle w:val="null3"/>
        <w:jc w:val="center"/>
        <w:outlineLvl w:val="2"/>
      </w:pPr>
      <w:r>
        <w:rPr>
          <w:sz w:val="28"/>
          <w:b/>
        </w:rPr>
        <w:t>西安曲江新区管理委员会</w:t>
      </w:r>
    </w:p>
    <w:p>
      <w:pPr>
        <w:pStyle w:val="null3"/>
        <w:jc w:val="center"/>
        <w:outlineLvl w:val="2"/>
      </w:pPr>
      <w:r>
        <w:rPr>
          <w:sz w:val="28"/>
          <w:b/>
        </w:rPr>
        <w:t>陕西众诚致信管理咨询有限公司</w:t>
      </w:r>
      <w:r>
        <w:rPr>
          <w:sz w:val="28"/>
          <w:b/>
        </w:rPr>
        <w:t>共同编制</w:t>
      </w:r>
    </w:p>
    <w:p>
      <w:pPr>
        <w:pStyle w:val="null3"/>
        <w:jc w:val="center"/>
        <w:outlineLvl w:val="2"/>
      </w:pPr>
      <w:r>
        <w:rPr>
          <w:sz w:val="28"/>
          <w:b/>
        </w:rPr>
        <w:t>2024年08月08日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陕西众诚致信管理咨询有限公司</w:t>
      </w:r>
      <w:r>
        <w:rPr/>
        <w:t>（以下简称“代理机构”）受</w:t>
      </w:r>
      <w:r>
        <w:rPr/>
        <w:t>西安曲江新区管理委员会</w:t>
      </w:r>
      <w:r>
        <w:rPr/>
        <w:t>委托，拟对</w:t>
      </w:r>
      <w:r>
        <w:rPr/>
        <w:t>曲江新区城市管理工作人员人身意外伤害保险服务项目(二次)</w:t>
      </w:r>
      <w:r>
        <w:rPr/>
        <w:t>采用竞争性磋商采购方式进行采购，兹邀请供应商参加本项目的竞争性磋商。</w:t>
      </w:r>
    </w:p>
    <w:p>
      <w:pPr>
        <w:pStyle w:val="null3"/>
        <w:outlineLvl w:val="2"/>
      </w:pPr>
      <w:r>
        <w:rPr>
          <w:sz w:val="28"/>
          <w:b/>
        </w:rPr>
        <w:t>一、项目编号：</w:t>
      </w:r>
      <w:r>
        <w:rPr>
          <w:sz w:val="28"/>
          <w:b/>
        </w:rPr>
        <w:t>ZCZX2024-CS-139.1B1</w:t>
      </w:r>
    </w:p>
    <w:p>
      <w:pPr>
        <w:pStyle w:val="null3"/>
        <w:outlineLvl w:val="2"/>
      </w:pPr>
      <w:r>
        <w:rPr>
          <w:sz w:val="28"/>
          <w:b/>
        </w:rPr>
        <w:t>二、项目名称：</w:t>
      </w:r>
      <w:r>
        <w:rPr>
          <w:sz w:val="28"/>
          <w:b/>
        </w:rPr>
        <w:t>曲江新区城市管理工作人员人身意外伤害保险服务项目(二次)</w:t>
      </w:r>
    </w:p>
    <w:p>
      <w:pPr>
        <w:pStyle w:val="null3"/>
        <w:outlineLvl w:val="2"/>
      </w:pPr>
      <w:r>
        <w:rPr>
          <w:sz w:val="28"/>
          <w:b/>
        </w:rPr>
        <w:t>三、磋商项目简介</w:t>
      </w:r>
    </w:p>
    <w:p>
      <w:pPr>
        <w:pStyle w:val="null3"/>
        <w:ind w:firstLine="480"/>
      </w:pPr>
      <w:r>
        <w:rPr/>
        <w:t>为保障执法工作顺利开展，保证执法队员的人身安全，现需采购人身意外伤害保险，为期一年。</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磋商授权：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p>
      <w:pPr>
        <w:pStyle w:val="null3"/>
      </w:pPr>
      <w:r>
        <w:rPr/>
        <w:t>2、资质：供应商具有《经营保险业务许可证》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西安曲江新区管理委员会</w:t>
      </w:r>
    </w:p>
    <w:p>
      <w:pPr>
        <w:pStyle w:val="null3"/>
      </w:pPr>
      <w:r>
        <w:rPr/>
        <w:t xml:space="preserve"> 地址： </w:t>
      </w:r>
      <w:r>
        <w:rPr/>
        <w:t>杜陵邑南路6号</w:t>
      </w:r>
    </w:p>
    <w:p>
      <w:pPr>
        <w:pStyle w:val="null3"/>
      </w:pPr>
      <w:r>
        <w:rPr/>
        <w:t xml:space="preserve"> 邮编： </w:t>
      </w:r>
      <w:r>
        <w:rPr/>
        <w:t>710000</w:t>
      </w:r>
    </w:p>
    <w:p>
      <w:pPr>
        <w:pStyle w:val="null3"/>
      </w:pPr>
      <w:r>
        <w:rPr/>
        <w:t xml:space="preserve"> 联系人： </w:t>
      </w:r>
      <w:r>
        <w:rPr/>
        <w:t>赵工</w:t>
      </w:r>
    </w:p>
    <w:p>
      <w:pPr>
        <w:pStyle w:val="null3"/>
      </w:pPr>
      <w:r>
        <w:rPr/>
        <w:t xml:space="preserve"> 联系电话： </w:t>
      </w:r>
      <w:r>
        <w:rPr/>
        <w:t>029-68660318</w:t>
      </w:r>
    </w:p>
    <w:p>
      <w:pPr>
        <w:pStyle w:val="null3"/>
        <w:outlineLvl w:val="3"/>
      </w:pPr>
      <w:r>
        <w:rPr>
          <w:sz w:val="24"/>
          <w:b/>
        </w:rPr>
        <w:t>代理机构：</w:t>
      </w:r>
      <w:r>
        <w:rPr>
          <w:sz w:val="24"/>
          <w:b/>
        </w:rPr>
        <w:t>陕西众诚致信管理咨询有限公司</w:t>
      </w:r>
    </w:p>
    <w:p>
      <w:pPr>
        <w:pStyle w:val="null3"/>
      </w:pPr>
      <w:r>
        <w:rPr/>
        <w:t xml:space="preserve"> 地址： </w:t>
      </w:r>
      <w:r>
        <w:rPr/>
        <w:t>西安曲江新区翠华南路1688号创意盒子13层1304室</w:t>
      </w:r>
    </w:p>
    <w:p>
      <w:pPr>
        <w:pStyle w:val="null3"/>
      </w:pPr>
      <w:r>
        <w:rPr/>
        <w:t xml:space="preserve"> 邮编： </w:t>
      </w:r>
      <w:r>
        <w:rPr/>
        <w:t>710061</w:t>
      </w:r>
    </w:p>
    <w:p>
      <w:pPr>
        <w:pStyle w:val="null3"/>
      </w:pPr>
      <w:r>
        <w:rPr/>
        <w:t xml:space="preserve"> 联系人： </w:t>
      </w:r>
      <w:r>
        <w:rPr/>
        <w:t>吴芳超、王鹏飞</w:t>
      </w:r>
    </w:p>
    <w:p>
      <w:pPr>
        <w:pStyle w:val="null3"/>
      </w:pPr>
      <w:r>
        <w:rPr/>
        <w:t xml:space="preserve"> 联系电话： </w:t>
      </w:r>
      <w:r>
        <w:rPr/>
        <w:t xml:space="preserve"> 029-89565998</w:t>
      </w:r>
    </w:p>
    <w:p>
      <w:pPr>
        <w:pStyle w:val="null3"/>
        <w:outlineLvl w:val="3"/>
      </w:pPr>
      <w:r>
        <w:rPr>
          <w:sz w:val="24"/>
          <w:b/>
        </w:rPr>
        <w:t>采购监督机构：</w:t>
      </w:r>
      <w:r>
        <w:rPr>
          <w:sz w:val="24"/>
          <w:b/>
        </w:rPr>
        <w:t>西安曲江新区财政局</w:t>
      </w:r>
    </w:p>
    <w:p>
      <w:pPr>
        <w:pStyle w:val="null3"/>
        <w:ind w:firstLine="480"/>
      </w:pPr>
      <w:r>
        <w:rPr/>
        <w:t>联系人：</w:t>
      </w:r>
      <w:r>
        <w:rPr/>
        <w:t>寇雪莲</w:t>
      </w:r>
    </w:p>
    <w:p>
      <w:pPr>
        <w:pStyle w:val="null3"/>
        <w:ind w:firstLine="480"/>
      </w:pPr>
      <w:r>
        <w:rPr/>
        <w:t>联系电话：</w:t>
      </w:r>
      <w:r>
        <w:rPr/>
        <w:t>029-68660082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采购包1：525,600.00元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60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西安曲江新区管理委员会</w:t>
      </w:r>
      <w:r>
        <w:rPr/>
        <w:t>和</w:t>
      </w:r>
      <w:r>
        <w:rPr/>
        <w:t>陕西众诚致信管理咨询有限公司</w:t>
      </w:r>
      <w:r>
        <w:rPr/>
        <w:t>享有。对磋商文件中供应商参加本次政府采购活动应当具备的条件，磋商项目技术、服务、商务及其他要求，评审细则及标准由</w:t>
      </w:r>
      <w:r>
        <w:rPr/>
        <w:t>西安曲江新区管理委员会</w:t>
      </w:r>
      <w:r>
        <w:rPr/>
        <w:t>负责解释。除上述磋商文件内容，其他内容由</w:t>
      </w:r>
      <w:r>
        <w:rPr/>
        <w:t>陕西众诚致信管理咨询有限公司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西安曲江新区管理委员会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陕西众诚致信管理咨询有限公司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按合同约定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陕西众诚致信管理咨询有限公司</w:t>
      </w:r>
      <w:r>
        <w:rPr/>
        <w:t xml:space="preserve"> 负责答复；供应商对除采购需求外的采购文件的询问、质疑由</w:t>
      </w:r>
      <w:r>
        <w:rPr/>
        <w:t>陕西众诚致信管理咨询有限公司</w:t>
      </w:r>
      <w:r>
        <w:rPr/>
        <w:t xml:space="preserve"> 负责答复；供应商对采购过程、采购结果的询问、质疑由 </w:t>
      </w:r>
      <w:r>
        <w:rPr/>
        <w:t>陕西众诚致信管理咨询有限公司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联系人：吴芳超、王鹏飞</w:t>
      </w:r>
    </w:p>
    <w:p>
      <w:pPr>
        <w:pStyle w:val="null3"/>
      </w:pPr>
      <w:r>
        <w:rPr/>
        <w:t>联系电话：029-89565998</w:t>
      </w:r>
    </w:p>
    <w:p>
      <w:pPr>
        <w:pStyle w:val="null3"/>
      </w:pPr>
      <w:r>
        <w:rPr/>
        <w:t>地址：西安曲江新区翠华南路1688号创意盒子13层1304室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为保障执法工作顺利开展，保证执法队员的人身安全，现需采购人身意外伤害保险，为期一年。</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525,600.00</w:t>
      </w:r>
    </w:p>
    <w:p>
      <w:pPr>
        <w:pStyle w:val="null3"/>
      </w:pPr>
      <w:r>
        <w:rPr/>
        <w:t>采购包最高限价（元）: 525,600.00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人身意外伤害保险</w:t>
            </w:r>
          </w:p>
        </w:tc>
        <w:tc>
          <w:tcPr>
            <w:tcW w:type="dxa" w:w="831"/>
          </w:tcPr>
          <w:p>
            <w:pPr>
              <w:pStyle w:val="null3"/>
              <w:jc w:val="right"/>
            </w:pPr>
            <w:r>
              <w:rPr/>
              <w:t>1.00</w:t>
            </w:r>
          </w:p>
        </w:tc>
        <w:tc>
          <w:tcPr>
            <w:tcW w:type="dxa" w:w="831"/>
          </w:tcPr>
          <w:p>
            <w:pPr>
              <w:pStyle w:val="null3"/>
              <w:jc w:val="right"/>
            </w:pPr>
            <w:r>
              <w:rPr/>
              <w:t>525,600.00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标的名称：人身意外伤害保险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0"/>
              </w:rPr>
              <w:t>一、服务内容</w:t>
            </w:r>
          </w:p>
          <w:p>
            <w:pPr>
              <w:pStyle w:val="null3"/>
            </w:pPr>
            <w:r>
              <w:rPr>
                <w:rFonts w:ascii="calibri, sans-serif" w:hAnsi="calibri, sans-serif" w:cs="calibri, sans-serif" w:eastAsia="calibri, sans-serif"/>
                <w:sz w:val="20"/>
              </w:rPr>
              <w:t>1</w:t>
            </w:r>
            <w:r>
              <w:rPr>
                <w:rFonts w:ascii="宋体" w:hAnsi="宋体" w:cs="宋体" w:eastAsia="宋体"/>
                <w:sz w:val="20"/>
              </w:rPr>
              <w:t>、投保人数：共</w:t>
            </w:r>
            <w:r>
              <w:rPr>
                <w:rFonts w:ascii="calibri, sans-serif" w:hAnsi="calibri, sans-serif" w:cs="calibri, sans-serif" w:eastAsia="calibri, sans-serif"/>
                <w:sz w:val="20"/>
              </w:rPr>
              <w:t>657</w:t>
            </w:r>
            <w:r>
              <w:rPr>
                <w:rFonts w:ascii="宋体" w:hAnsi="宋体" w:cs="宋体" w:eastAsia="宋体"/>
                <w:sz w:val="20"/>
              </w:rPr>
              <w:t>人（保险费单价金额不变，最终以合同确定的实际参保人数为准）。</w:t>
            </w:r>
          </w:p>
          <w:p>
            <w:pPr>
              <w:pStyle w:val="null3"/>
            </w:pPr>
            <w:r>
              <w:rPr>
                <w:rFonts w:ascii="calibri, sans-serif" w:hAnsi="calibri, sans-serif" w:cs="calibri, sans-serif" w:eastAsia="calibri, sans-serif"/>
                <w:sz w:val="20"/>
              </w:rPr>
              <w:t>2</w:t>
            </w:r>
            <w:r>
              <w:rPr>
                <w:rFonts w:ascii="宋体" w:hAnsi="宋体" w:cs="宋体" w:eastAsia="宋体"/>
                <w:sz w:val="20"/>
              </w:rPr>
              <w:t>、保险费每人每年</w:t>
            </w:r>
            <w:r>
              <w:rPr>
                <w:rFonts w:ascii="calibri, sans-serif" w:hAnsi="calibri, sans-serif" w:cs="calibri, sans-serif" w:eastAsia="calibri, sans-serif"/>
                <w:sz w:val="20"/>
              </w:rPr>
              <w:t>800</w:t>
            </w:r>
            <w:r>
              <w:rPr>
                <w:rFonts w:ascii="宋体" w:hAnsi="宋体" w:cs="宋体" w:eastAsia="宋体"/>
                <w:sz w:val="20"/>
              </w:rPr>
              <w:t>元。</w:t>
            </w:r>
          </w:p>
          <w:p>
            <w:pPr>
              <w:pStyle w:val="null3"/>
            </w:pPr>
            <w:r>
              <w:rPr>
                <w:rFonts w:ascii="calibri, sans-serif" w:hAnsi="calibri, sans-serif" w:cs="calibri, sans-serif" w:eastAsia="calibri, sans-serif"/>
                <w:sz w:val="20"/>
              </w:rPr>
              <w:t>3</w:t>
            </w:r>
            <w:r>
              <w:rPr>
                <w:rFonts w:ascii="宋体" w:hAnsi="宋体" w:cs="宋体" w:eastAsia="宋体"/>
                <w:sz w:val="20"/>
              </w:rPr>
              <w:t>、供应商必须承诺因第三方责任导致员工意外死亡伤残，不受第三方赔付限制，按照保额正常赔付。</w:t>
            </w:r>
          </w:p>
          <w:p>
            <w:pPr>
              <w:pStyle w:val="null3"/>
            </w:pPr>
            <w:r>
              <w:rPr>
                <w:rFonts w:ascii="calibri, sans-serif" w:hAnsi="calibri, sans-serif" w:cs="calibri, sans-serif" w:eastAsia="calibri, sans-serif"/>
                <w:sz w:val="20"/>
              </w:rPr>
              <w:t>4</w:t>
            </w:r>
            <w:r>
              <w:rPr>
                <w:rFonts w:ascii="宋体" w:hAnsi="宋体" w:cs="宋体" w:eastAsia="宋体"/>
                <w:sz w:val="20"/>
              </w:rPr>
              <w:t>、理赔金额要求大于等于以下数额</w:t>
            </w:r>
            <w:r>
              <w:rPr>
                <w:rFonts w:ascii="宋体" w:hAnsi="宋体" w:cs="宋体" w:eastAsia="宋体"/>
                <w:sz w:val="20"/>
                <w:b/>
              </w:rPr>
              <w:t>（实质性条款）</w:t>
            </w:r>
            <w:r>
              <w:rPr>
                <w:rFonts w:ascii="宋体" w:hAnsi="宋体" w:cs="宋体" w:eastAsia="宋体"/>
                <w:sz w:val="20"/>
              </w:rPr>
              <w:t>：</w:t>
            </w:r>
          </w:p>
          <w:p>
            <w:pPr>
              <w:pStyle w:val="null3"/>
            </w:pPr>
            <w:r>
              <w:rPr>
                <w:rFonts w:ascii="宋体" w:hAnsi="宋体" w:cs="宋体" w:eastAsia="宋体"/>
                <w:sz w:val="20"/>
              </w:rPr>
              <w:t>（</w:t>
            </w:r>
            <w:r>
              <w:rPr>
                <w:rFonts w:ascii="calibri, sans-serif" w:hAnsi="calibri, sans-serif" w:cs="calibri, sans-serif" w:eastAsia="calibri, sans-serif"/>
                <w:sz w:val="20"/>
              </w:rPr>
              <w:t>1</w:t>
            </w:r>
            <w:r>
              <w:rPr>
                <w:rFonts w:ascii="宋体" w:hAnsi="宋体" w:cs="宋体" w:eastAsia="宋体"/>
                <w:sz w:val="20"/>
              </w:rPr>
              <w:t>）意外伤害身故：金额</w:t>
            </w:r>
            <w:r>
              <w:rPr>
                <w:rFonts w:ascii="calibri, sans-serif" w:hAnsi="calibri, sans-serif" w:cs="calibri, sans-serif" w:eastAsia="calibri, sans-serif"/>
                <w:sz w:val="20"/>
              </w:rPr>
              <w:t>100</w:t>
            </w:r>
            <w:r>
              <w:rPr>
                <w:rFonts w:ascii="宋体" w:hAnsi="宋体" w:cs="宋体" w:eastAsia="宋体"/>
                <w:sz w:val="20"/>
              </w:rPr>
              <w:t>万元</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2</w:t>
            </w:r>
            <w:r>
              <w:rPr>
                <w:rFonts w:ascii="宋体" w:hAnsi="宋体" w:cs="宋体" w:eastAsia="宋体"/>
                <w:sz w:val="20"/>
              </w:rPr>
              <w:t>）意外伤害伤残：金额</w:t>
            </w:r>
            <w:r>
              <w:rPr>
                <w:rFonts w:ascii="calibri, sans-serif" w:hAnsi="calibri, sans-serif" w:cs="calibri, sans-serif" w:eastAsia="calibri, sans-serif"/>
                <w:sz w:val="20"/>
              </w:rPr>
              <w:t>50</w:t>
            </w:r>
            <w:r>
              <w:rPr>
                <w:rFonts w:ascii="宋体" w:hAnsi="宋体" w:cs="宋体" w:eastAsia="宋体"/>
                <w:sz w:val="20"/>
              </w:rPr>
              <w:t>万元</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3</w:t>
            </w:r>
            <w:r>
              <w:rPr>
                <w:rFonts w:ascii="宋体" w:hAnsi="宋体" w:cs="宋体" w:eastAsia="宋体"/>
                <w:sz w:val="20"/>
              </w:rPr>
              <w:t>）意外伤害医疗：金额</w:t>
            </w:r>
            <w:r>
              <w:rPr>
                <w:rFonts w:ascii="calibri, sans-serif" w:hAnsi="calibri, sans-serif" w:cs="calibri, sans-serif" w:eastAsia="calibri, sans-serif"/>
                <w:sz w:val="20"/>
              </w:rPr>
              <w:t>5</w:t>
            </w:r>
            <w:r>
              <w:rPr>
                <w:rFonts w:ascii="宋体" w:hAnsi="宋体" w:cs="宋体" w:eastAsia="宋体"/>
                <w:sz w:val="20"/>
              </w:rPr>
              <w:t>万元</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4</w:t>
            </w:r>
            <w:r>
              <w:rPr>
                <w:rFonts w:ascii="宋体" w:hAnsi="宋体" w:cs="宋体" w:eastAsia="宋体"/>
                <w:sz w:val="20"/>
              </w:rPr>
              <w:t>）乘坐汽车意外伤害身故</w:t>
            </w:r>
            <w:r>
              <w:rPr>
                <w:rFonts w:ascii="calibri, sans-serif" w:hAnsi="calibri, sans-serif" w:cs="calibri, sans-serif" w:eastAsia="calibri, sans-serif"/>
                <w:sz w:val="20"/>
              </w:rPr>
              <w:t>/</w:t>
            </w:r>
            <w:r>
              <w:rPr>
                <w:rFonts w:ascii="宋体" w:hAnsi="宋体" w:cs="宋体" w:eastAsia="宋体"/>
                <w:sz w:val="20"/>
              </w:rPr>
              <w:t>残疾：金额</w:t>
            </w:r>
            <w:r>
              <w:rPr>
                <w:rFonts w:ascii="calibri, sans-serif" w:hAnsi="calibri, sans-serif" w:cs="calibri, sans-serif" w:eastAsia="calibri, sans-serif"/>
                <w:sz w:val="20"/>
              </w:rPr>
              <w:t>11</w:t>
            </w:r>
            <w:r>
              <w:rPr>
                <w:rFonts w:ascii="宋体" w:hAnsi="宋体" w:cs="宋体" w:eastAsia="宋体"/>
                <w:sz w:val="20"/>
              </w:rPr>
              <w:t>万</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5</w:t>
            </w:r>
            <w:r>
              <w:rPr>
                <w:rFonts w:ascii="宋体" w:hAnsi="宋体" w:cs="宋体" w:eastAsia="宋体"/>
                <w:sz w:val="20"/>
              </w:rPr>
              <w:t>）自驾车意外伤害身故</w:t>
            </w:r>
            <w:r>
              <w:rPr>
                <w:rFonts w:ascii="calibri, sans-serif" w:hAnsi="calibri, sans-serif" w:cs="calibri, sans-serif" w:eastAsia="calibri, sans-serif"/>
                <w:sz w:val="20"/>
              </w:rPr>
              <w:t>/</w:t>
            </w:r>
            <w:r>
              <w:rPr>
                <w:rFonts w:ascii="宋体" w:hAnsi="宋体" w:cs="宋体" w:eastAsia="宋体"/>
                <w:sz w:val="20"/>
              </w:rPr>
              <w:t>残疾：金额</w:t>
            </w:r>
            <w:r>
              <w:rPr>
                <w:rFonts w:ascii="calibri, sans-serif" w:hAnsi="calibri, sans-serif" w:cs="calibri, sans-serif" w:eastAsia="calibri, sans-serif"/>
                <w:sz w:val="20"/>
              </w:rPr>
              <w:t>10</w:t>
            </w:r>
            <w:r>
              <w:rPr>
                <w:rFonts w:ascii="宋体" w:hAnsi="宋体" w:cs="宋体" w:eastAsia="宋体"/>
                <w:sz w:val="20"/>
              </w:rPr>
              <w:t>万</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6</w:t>
            </w:r>
            <w:r>
              <w:rPr>
                <w:rFonts w:ascii="宋体" w:hAnsi="宋体" w:cs="宋体" w:eastAsia="宋体"/>
                <w:sz w:val="20"/>
              </w:rPr>
              <w:t>）疾病住院医疗</w:t>
            </w:r>
            <w:r>
              <w:rPr>
                <w:rFonts w:ascii="calibri, sans-serif" w:hAnsi="calibri, sans-serif" w:cs="calibri, sans-serif" w:eastAsia="calibri, sans-serif"/>
                <w:sz w:val="20"/>
              </w:rPr>
              <w:t>:</w:t>
            </w:r>
            <w:r>
              <w:rPr>
                <w:rFonts w:ascii="宋体" w:hAnsi="宋体" w:cs="宋体" w:eastAsia="宋体"/>
                <w:sz w:val="20"/>
              </w:rPr>
              <w:t>金额</w:t>
            </w:r>
            <w:r>
              <w:rPr>
                <w:rFonts w:ascii="calibri, sans-serif" w:hAnsi="calibri, sans-serif" w:cs="calibri, sans-serif" w:eastAsia="calibri, sans-serif"/>
                <w:sz w:val="20"/>
              </w:rPr>
              <w:t>1</w:t>
            </w:r>
            <w:r>
              <w:rPr>
                <w:rFonts w:ascii="宋体" w:hAnsi="宋体" w:cs="宋体" w:eastAsia="宋体"/>
                <w:sz w:val="20"/>
              </w:rPr>
              <w:t>万</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7</w:t>
            </w:r>
            <w:r>
              <w:rPr>
                <w:rFonts w:ascii="宋体" w:hAnsi="宋体" w:cs="宋体" w:eastAsia="宋体"/>
                <w:sz w:val="20"/>
              </w:rPr>
              <w:t>）疾病身故：金额</w:t>
            </w:r>
            <w:r>
              <w:rPr>
                <w:rFonts w:ascii="calibri, sans-serif" w:hAnsi="calibri, sans-serif" w:cs="calibri, sans-serif" w:eastAsia="calibri, sans-serif"/>
                <w:sz w:val="20"/>
              </w:rPr>
              <w:t>15</w:t>
            </w:r>
            <w:r>
              <w:rPr>
                <w:rFonts w:ascii="宋体" w:hAnsi="宋体" w:cs="宋体" w:eastAsia="宋体"/>
                <w:sz w:val="20"/>
              </w:rPr>
              <w:t>万</w:t>
            </w:r>
            <w:r>
              <w:rPr>
                <w:rFonts w:ascii="calibri, sans-serif" w:hAnsi="calibri, sans-serif" w:cs="calibri, sans-serif" w:eastAsia="calibri, sans-serif"/>
                <w:sz w:val="20"/>
              </w:rPr>
              <w:t>/</w:t>
            </w:r>
            <w:r>
              <w:rPr>
                <w:rFonts w:ascii="宋体" w:hAnsi="宋体" w:cs="宋体" w:eastAsia="宋体"/>
                <w:sz w:val="20"/>
              </w:rPr>
              <w:t>人。</w:t>
            </w:r>
          </w:p>
          <w:p>
            <w:pPr>
              <w:pStyle w:val="null3"/>
            </w:pPr>
            <w:r>
              <w:rPr>
                <w:rFonts w:ascii="宋体" w:hAnsi="宋体" w:cs="宋体" w:eastAsia="宋体"/>
                <w:sz w:val="20"/>
              </w:rPr>
              <w:t>（</w:t>
            </w:r>
            <w:r>
              <w:rPr>
                <w:rFonts w:ascii="calibri, sans-serif" w:hAnsi="calibri, sans-serif" w:cs="calibri, sans-serif" w:eastAsia="calibri, sans-serif"/>
                <w:sz w:val="20"/>
              </w:rPr>
              <w:t>8</w:t>
            </w:r>
            <w:r>
              <w:rPr>
                <w:rFonts w:ascii="宋体" w:hAnsi="宋体" w:cs="宋体" w:eastAsia="宋体"/>
                <w:sz w:val="20"/>
              </w:rPr>
              <w:t>）住院津贴：金额</w:t>
            </w:r>
            <w:r>
              <w:rPr>
                <w:rFonts w:ascii="calibri, sans-serif" w:hAnsi="calibri, sans-serif" w:cs="calibri, sans-serif" w:eastAsia="calibri, sans-serif"/>
                <w:sz w:val="20"/>
              </w:rPr>
              <w:t>200</w:t>
            </w:r>
            <w:r>
              <w:rPr>
                <w:rFonts w:ascii="宋体" w:hAnsi="宋体" w:cs="宋体" w:eastAsia="宋体"/>
                <w:sz w:val="20"/>
              </w:rPr>
              <w:t>元</w:t>
            </w:r>
            <w:r>
              <w:rPr>
                <w:rFonts w:ascii="calibri, sans-serif" w:hAnsi="calibri, sans-serif" w:cs="calibri, sans-serif" w:eastAsia="calibri, sans-serif"/>
                <w:sz w:val="20"/>
              </w:rPr>
              <w:t>/</w:t>
            </w:r>
            <w:r>
              <w:rPr>
                <w:rFonts w:ascii="宋体" w:hAnsi="宋体" w:cs="宋体" w:eastAsia="宋体"/>
                <w:sz w:val="20"/>
              </w:rPr>
              <w:t>人</w:t>
            </w:r>
            <w:r>
              <w:rPr>
                <w:rFonts w:ascii="calibri, sans-serif" w:hAnsi="calibri, sans-serif" w:cs="calibri, sans-serif" w:eastAsia="calibri, sans-serif"/>
                <w:sz w:val="20"/>
              </w:rPr>
              <w:t>/</w:t>
            </w:r>
            <w:r>
              <w:rPr>
                <w:rFonts w:ascii="宋体" w:hAnsi="宋体" w:cs="宋体" w:eastAsia="宋体"/>
                <w:sz w:val="20"/>
              </w:rPr>
              <w:t>天。</w:t>
            </w:r>
          </w:p>
          <w:p>
            <w:pPr>
              <w:pStyle w:val="null3"/>
            </w:pPr>
            <w:r>
              <w:rPr>
                <w:rFonts w:ascii="宋体" w:hAnsi="宋体" w:cs="宋体" w:eastAsia="宋体"/>
                <w:sz w:val="20"/>
              </w:rPr>
              <w:t>注：在保险费不变的情况下，各供应商应根据自身情况确定保险赔偿限额。</w:t>
            </w:r>
          </w:p>
          <w:p>
            <w:pPr>
              <w:pStyle w:val="null3"/>
            </w:pPr>
            <w:r>
              <w:rPr>
                <w:rFonts w:ascii="宋体" w:hAnsi="宋体" w:cs="宋体" w:eastAsia="宋体"/>
                <w:sz w:val="20"/>
              </w:rPr>
              <w:t>二、服务要求</w:t>
            </w:r>
          </w:p>
          <w:p>
            <w:pPr>
              <w:pStyle w:val="null3"/>
            </w:pPr>
            <w:r>
              <w:rPr>
                <w:rFonts w:ascii="calibri, sans-serif" w:hAnsi="calibri, sans-serif" w:cs="calibri, sans-serif" w:eastAsia="calibri, sans-serif"/>
                <w:sz w:val="20"/>
              </w:rPr>
              <w:t>1</w:t>
            </w:r>
            <w:r>
              <w:rPr>
                <w:rFonts w:ascii="宋体" w:hAnsi="宋体" w:cs="宋体" w:eastAsia="宋体"/>
                <w:sz w:val="20"/>
              </w:rPr>
              <w:t>、供应商收到申请人的保险金给付申请书及相关证明和资料后，将及时作出核定。经核定后确定属于保险责任的，在与申请人达成给付保险金协议后十日内，履行给付保险金的义务；不属于保险责任的，将自作出核定之日起三日内向申请人发出拒绝给付保证金通知书，并说明理由。</w:t>
            </w:r>
          </w:p>
          <w:p>
            <w:pPr>
              <w:pStyle w:val="null3"/>
            </w:pPr>
            <w:r>
              <w:rPr>
                <w:rFonts w:ascii="calibri, sans-serif" w:hAnsi="calibri, sans-serif" w:cs="calibri, sans-serif" w:eastAsia="calibri, sans-serif"/>
                <w:sz w:val="20"/>
              </w:rPr>
              <w:t>2</w:t>
            </w:r>
            <w:r>
              <w:rPr>
                <w:rFonts w:ascii="宋体" w:hAnsi="宋体" w:cs="宋体" w:eastAsia="宋体"/>
                <w:sz w:val="20"/>
              </w:rPr>
              <w:t>、有合规经营机构，全天</w:t>
            </w:r>
            <w:r>
              <w:rPr>
                <w:rFonts w:ascii="calibri, sans-serif" w:hAnsi="calibri, sans-serif" w:cs="calibri, sans-serif" w:eastAsia="calibri, sans-serif"/>
                <w:sz w:val="20"/>
              </w:rPr>
              <w:t>24</w:t>
            </w:r>
            <w:r>
              <w:rPr>
                <w:rFonts w:ascii="宋体" w:hAnsi="宋体" w:cs="宋体" w:eastAsia="宋体"/>
                <w:sz w:val="20"/>
              </w:rPr>
              <w:t>小时接受被保险人或居民咨询和索赔需求，出险后</w:t>
            </w:r>
            <w:r>
              <w:rPr>
                <w:rFonts w:ascii="calibri, sans-serif" w:hAnsi="calibri, sans-serif" w:cs="calibri, sans-serif" w:eastAsia="calibri, sans-serif"/>
                <w:sz w:val="20"/>
              </w:rPr>
              <w:t>3</w:t>
            </w:r>
            <w:r>
              <w:rPr>
                <w:rFonts w:ascii="宋体" w:hAnsi="宋体" w:cs="宋体" w:eastAsia="宋体"/>
                <w:sz w:val="20"/>
              </w:rPr>
              <w:t>小时内上门服务，</w:t>
            </w:r>
            <w:r>
              <w:rPr>
                <w:rFonts w:ascii="calibri, sans-serif" w:hAnsi="calibri, sans-serif" w:cs="calibri, sans-serif" w:eastAsia="calibri, sans-serif"/>
                <w:sz w:val="20"/>
              </w:rPr>
              <w:t>5</w:t>
            </w:r>
            <w:r>
              <w:rPr>
                <w:rFonts w:ascii="宋体" w:hAnsi="宋体" w:cs="宋体" w:eastAsia="宋体"/>
                <w:sz w:val="20"/>
              </w:rPr>
              <w:t>个工作日内进行理赔处理结案。</w:t>
            </w:r>
          </w:p>
          <w:p>
            <w:pPr>
              <w:pStyle w:val="null3"/>
            </w:pPr>
            <w:r>
              <w:rPr>
                <w:rFonts w:ascii="calibri, sans-serif" w:hAnsi="calibri, sans-serif" w:cs="calibri, sans-serif" w:eastAsia="calibri, sans-serif"/>
                <w:sz w:val="20"/>
              </w:rPr>
              <w:t>3</w:t>
            </w:r>
            <w:r>
              <w:rPr>
                <w:rFonts w:ascii="宋体" w:hAnsi="宋体" w:cs="宋体" w:eastAsia="宋体"/>
                <w:sz w:val="20"/>
              </w:rPr>
              <w:t>、加强沟通协调。供应商按照公司职责，加强协作配合，进一步分工合理，职责明确，协商沟通，规范有序的工作机制，确保取得实效。</w:t>
            </w:r>
          </w:p>
          <w:p>
            <w:pPr>
              <w:pStyle w:val="null3"/>
            </w:pPr>
            <w:r>
              <w:rPr>
                <w:rFonts w:ascii="宋体" w:hAnsi="宋体" w:cs="宋体" w:eastAsia="宋体"/>
                <w:sz w:val="20"/>
              </w:rPr>
              <w:t>三、商务要求</w:t>
            </w:r>
          </w:p>
          <w:p>
            <w:pPr>
              <w:pStyle w:val="null3"/>
            </w:pPr>
            <w:r>
              <w:rPr>
                <w:rFonts w:ascii="calibri, sans-serif" w:hAnsi="calibri, sans-serif" w:cs="calibri, sans-serif" w:eastAsia="calibri, sans-serif"/>
                <w:sz w:val="20"/>
              </w:rPr>
              <w:t>1</w:t>
            </w:r>
            <w:r>
              <w:rPr>
                <w:rFonts w:ascii="宋体" w:hAnsi="宋体" w:cs="宋体" w:eastAsia="宋体"/>
                <w:sz w:val="20"/>
              </w:rPr>
              <w:t>、服务期：自合同签订之日起一年。</w:t>
            </w:r>
          </w:p>
          <w:p>
            <w:pPr>
              <w:pStyle w:val="null3"/>
            </w:pPr>
            <w:r>
              <w:rPr>
                <w:rFonts w:ascii="calibri, sans-serif" w:hAnsi="calibri, sans-serif" w:cs="calibri, sans-serif" w:eastAsia="calibri, sans-serif"/>
                <w:sz w:val="20"/>
              </w:rPr>
              <w:t>2</w:t>
            </w:r>
            <w:r>
              <w:rPr>
                <w:rFonts w:ascii="宋体" w:hAnsi="宋体" w:cs="宋体" w:eastAsia="宋体"/>
                <w:sz w:val="20"/>
              </w:rPr>
              <w:t>、服务地点：采购人指定地点</w:t>
            </w:r>
          </w:p>
          <w:p>
            <w:pPr>
              <w:pStyle w:val="null3"/>
            </w:pPr>
            <w:r>
              <w:rPr>
                <w:rFonts w:ascii="calibri, sans-serif" w:hAnsi="calibri, sans-serif" w:cs="calibri, sans-serif" w:eastAsia="calibri, sans-serif"/>
                <w:sz w:val="20"/>
              </w:rPr>
              <w:t>3</w:t>
            </w:r>
            <w:r>
              <w:rPr>
                <w:rFonts w:ascii="宋体" w:hAnsi="宋体" w:cs="宋体" w:eastAsia="宋体"/>
                <w:sz w:val="20"/>
              </w:rPr>
              <w:t>、付款方式：保险费单价金额不变，最终以合同确定的实际参保人数为准，据实结算。</w:t>
            </w:r>
          </w:p>
          <w:p>
            <w:pPr>
              <w:pStyle w:val="null3"/>
            </w:pPr>
            <w:r>
              <w:rPr>
                <w:rFonts w:ascii="宋体" w:hAnsi="宋体" w:cs="宋体" w:eastAsia="宋体"/>
                <w:sz w:val="20"/>
              </w:rPr>
              <w:t>四、其他</w:t>
            </w:r>
          </w:p>
          <w:p>
            <w:pPr>
              <w:pStyle w:val="null3"/>
            </w:pPr>
            <w:r>
              <w:rPr>
                <w:rFonts w:ascii="calibri, sans-serif" w:hAnsi="calibri, sans-serif" w:cs="calibri, sans-serif" w:eastAsia="calibri, sans-serif"/>
                <w:sz w:val="20"/>
              </w:rPr>
              <w:t xml:space="preserve"> </w:t>
            </w:r>
            <w:r>
              <w:rPr>
                <w:rFonts w:ascii="宋体" w:hAnsi="宋体" w:cs="宋体" w:eastAsia="宋体"/>
                <w:sz w:val="20"/>
              </w:rPr>
              <w:t>服务执行的标准、规范：</w:t>
            </w:r>
          </w:p>
          <w:p>
            <w:pPr>
              <w:pStyle w:val="null3"/>
            </w:pPr>
            <w:r>
              <w:rPr>
                <w:rFonts w:ascii="宋体" w:hAnsi="宋体" w:cs="宋体" w:eastAsia="宋体"/>
                <w:sz w:val="20"/>
              </w:rPr>
              <w:t>（</w:t>
            </w:r>
            <w:r>
              <w:rPr>
                <w:rFonts w:ascii="calibri, sans-serif" w:hAnsi="calibri, sans-serif" w:cs="calibri, sans-serif" w:eastAsia="calibri, sans-serif"/>
                <w:sz w:val="20"/>
              </w:rPr>
              <w:t>1</w:t>
            </w:r>
            <w:r>
              <w:rPr>
                <w:rFonts w:ascii="宋体" w:hAnsi="宋体" w:cs="宋体" w:eastAsia="宋体"/>
                <w:sz w:val="20"/>
              </w:rPr>
              <w:t>）国家标准、规范；</w:t>
            </w:r>
          </w:p>
          <w:p>
            <w:pPr>
              <w:pStyle w:val="null3"/>
            </w:pPr>
            <w:r>
              <w:rPr>
                <w:rFonts w:ascii="宋体" w:hAnsi="宋体" w:cs="宋体" w:eastAsia="宋体"/>
                <w:sz w:val="20"/>
              </w:rPr>
              <w:t>（</w:t>
            </w:r>
            <w:r>
              <w:rPr>
                <w:rFonts w:ascii="calibri, sans-serif" w:hAnsi="calibri, sans-serif" w:cs="calibri, sans-serif" w:eastAsia="calibri, sans-serif"/>
                <w:sz w:val="20"/>
              </w:rPr>
              <w:t>2</w:t>
            </w:r>
            <w:r>
              <w:rPr>
                <w:rFonts w:ascii="宋体" w:hAnsi="宋体" w:cs="宋体" w:eastAsia="宋体"/>
                <w:sz w:val="20"/>
              </w:rPr>
              <w:t>）行业标准、规范；</w:t>
            </w:r>
          </w:p>
          <w:p>
            <w:pPr>
              <w:pStyle w:val="null3"/>
            </w:pPr>
            <w:r>
              <w:rPr>
                <w:rFonts w:ascii="宋体" w:hAnsi="宋体" w:cs="宋体" w:eastAsia="宋体"/>
                <w:sz w:val="20"/>
              </w:rPr>
              <w:t>（</w:t>
            </w:r>
            <w:r>
              <w:rPr>
                <w:rFonts w:ascii="calibri, sans-serif" w:hAnsi="calibri, sans-serif" w:cs="calibri, sans-serif" w:eastAsia="calibri, sans-serif"/>
                <w:sz w:val="20"/>
              </w:rPr>
              <w:t>3</w:t>
            </w:r>
            <w:r>
              <w:rPr>
                <w:rFonts w:ascii="宋体" w:hAnsi="宋体" w:cs="宋体" w:eastAsia="宋体"/>
                <w:sz w:val="20"/>
              </w:rPr>
              <w:t>）地方标准、规范；</w:t>
            </w:r>
          </w:p>
          <w:p>
            <w:pPr>
              <w:pStyle w:val="null3"/>
            </w:pPr>
            <w:r>
              <w:rPr>
                <w:rFonts w:ascii="宋体" w:hAnsi="宋体" w:cs="宋体" w:eastAsia="宋体"/>
                <w:sz w:val="21"/>
              </w:rPr>
              <w:t>（</w:t>
            </w:r>
            <w:r>
              <w:rPr>
                <w:rFonts w:ascii="&quot;calibri&quot;, &quot;sans-serif&quot;" w:hAnsi="&quot;calibri&quot;, &quot;sans-serif&quot;" w:cs="&quot;calibri&quot;, &quot;sans-serif&quot;" w:eastAsia="&quot;calibri&quot;, &quot;sans-serif&quot;"/>
                <w:sz w:val="21"/>
              </w:rPr>
              <w:t>4</w:t>
            </w:r>
            <w:r>
              <w:rPr>
                <w:rFonts w:ascii="宋体" w:hAnsi="宋体" w:cs="宋体" w:eastAsia="宋体"/>
                <w:sz w:val="21"/>
              </w:rPr>
              <w:t>）企业标准、规范。</w:t>
            </w:r>
          </w:p>
        </w:tc>
      </w:tr>
    </w:tbl>
    <w:p>
      <w:pPr>
        <w:pStyle w:val="null3"/>
        <w:outlineLvl w:val="2"/>
      </w:pPr>
      <w:r>
        <w:rPr>
          <w:sz w:val="28"/>
          <w:b/>
        </w:rPr>
        <w:t>3.2.3人员配置要求</w:t>
      </w:r>
    </w:p>
    <w:p>
      <w:pPr>
        <w:pStyle w:val="null3"/>
      </w:pPr>
      <w:r>
        <w:rPr/>
        <w:t>采购包1：</w:t>
      </w:r>
    </w:p>
    <w:p>
      <w:pPr>
        <w:pStyle w:val="null3"/>
      </w:pPr>
      <w:r>
        <w:rPr/>
        <w:t>/</w:t>
      </w:r>
    </w:p>
    <w:p>
      <w:pPr>
        <w:pStyle w:val="null3"/>
        <w:outlineLvl w:val="2"/>
      </w:pPr>
      <w:r>
        <w:rPr>
          <w:sz w:val="28"/>
          <w:b/>
        </w:rPr>
        <w:t>3.2.4设施设备要求</w:t>
      </w:r>
    </w:p>
    <w:p>
      <w:pPr>
        <w:pStyle w:val="null3"/>
      </w:pPr>
      <w:r>
        <w:rPr/>
        <w:t>采购包1：</w:t>
      </w:r>
    </w:p>
    <w:p>
      <w:pPr>
        <w:pStyle w:val="null3"/>
      </w:pPr>
      <w:r>
        <w:rPr/>
        <w:t>/</w:t>
      </w:r>
    </w:p>
    <w:p>
      <w:pPr>
        <w:pStyle w:val="null3"/>
        <w:outlineLvl w:val="2"/>
      </w:pPr>
      <w:r>
        <w:rPr>
          <w:sz w:val="28"/>
          <w:b/>
        </w:rPr>
        <w:t>3.2.5其他要求</w:t>
      </w:r>
    </w:p>
    <w:p>
      <w:pPr>
        <w:pStyle w:val="null3"/>
      </w:pPr>
      <w:r>
        <w:rPr/>
        <w:t>采购包1：</w:t>
      </w:r>
    </w:p>
    <w:p>
      <w:pPr>
        <w:pStyle w:val="null3"/>
      </w:pPr>
      <w:r>
        <w:rPr/>
        <w:t>本项目报价形式为每人各项保险金额报价合计，因系统原因，供应商在在首次报价和最后报价环节，需注意以下2点： 1、在系统填写报价时候，供应商报价均为预算价（即525600.00元）。 2、将磋商响应报价表及报价明细表填写盖章后扫描成PDF，每次报价时作为附件上传。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自合同签订之日起一年</w:t>
      </w:r>
    </w:p>
    <w:p>
      <w:pPr>
        <w:pStyle w:val="null3"/>
        <w:outlineLvl w:val="3"/>
      </w:pPr>
      <w:r>
        <w:rPr>
          <w:sz w:val="24"/>
          <w:b/>
        </w:rPr>
        <w:t>3.3.2服务地点</w:t>
      </w:r>
    </w:p>
    <w:p>
      <w:pPr>
        <w:pStyle w:val="null3"/>
      </w:pPr>
      <w:r>
        <w:rPr/>
        <w:t>采购包1：</w:t>
      </w:r>
    </w:p>
    <w:p>
      <w:pPr>
        <w:pStyle w:val="null3"/>
      </w:pPr>
      <w:r>
        <w:rPr/>
        <w:t>照采购人要求</w:t>
      </w:r>
    </w:p>
    <w:p>
      <w:pPr>
        <w:pStyle w:val="null3"/>
        <w:outlineLvl w:val="3"/>
      </w:pPr>
      <w:r>
        <w:rPr>
          <w:sz w:val="24"/>
          <w:b/>
        </w:rPr>
        <w:t>3.3.3考核（验收）标准和方法</w:t>
      </w:r>
    </w:p>
    <w:p>
      <w:pPr>
        <w:pStyle w:val="null3"/>
      </w:pPr>
      <w:r>
        <w:rPr/>
        <w:t>采购包1：</w:t>
      </w:r>
    </w:p>
    <w:p>
      <w:pPr>
        <w:pStyle w:val="null3"/>
      </w:pPr>
      <w:r>
        <w:rPr/>
        <w:t>按合同约定</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保险费单价金额不变，最终以合同确定的实际参保人数为准</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按合同约定</w:t>
      </w:r>
    </w:p>
    <w:p>
      <w:pPr>
        <w:pStyle w:val="null3"/>
        <w:outlineLvl w:val="2"/>
      </w:pPr>
      <w:r>
        <w:rPr>
          <w:sz w:val="28"/>
          <w:b/>
        </w:rPr>
        <w:t>3.4其他要求</w:t>
      </w:r>
    </w:p>
    <w:p>
      <w:pPr>
        <w:pStyle w:val="null3"/>
      </w:pPr>
      <w:r>
        <w:rPr/>
        <w:t>成交供应商领取通知书时提供纸质文件2份。</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1、供应商合法注册的法人或其他组织的营业执照等证明文件，自然人的身份证明； 2、具有良好的商业信誉和健全的财务会计制度（供应商应提供2022年或2023年经审计的财务报告或银行出具的资信证明）；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具有良好的商业信誉和健全的财务会计制度（供应商应提供2022年或2023年经审计的财务报告或银行出具的资信证明）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磋商授权</w:t>
            </w:r>
          </w:p>
        </w:tc>
        <w:tc>
          <w:tcPr>
            <w:tcW w:type="dxa" w:w="3322"/>
          </w:tcPr>
          <w:p>
            <w:pPr>
              <w:pStyle w:val="null3"/>
            </w:pPr>
            <w:r>
              <w:rPr/>
              <w:t>供应商应授权合法的人员参加磋商全过程，其中法定代表人（或负责人）直接参加磋商的，须出具法定代表人（或负责人）身份证，并与营业执照上信息一致。法定代表人（或负责人）授权代表参加磋商的，须出具法定代表人（或负责人）授权书及授权代表身份证、授权代表本单位证明（养老保险缴纳证明或劳动合同）；</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供应商具有《经营保险业务许可证》</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签字或盖章</w:t>
            </w:r>
          </w:p>
        </w:tc>
        <w:tc>
          <w:tcPr>
            <w:tcW w:type="dxa" w:w="3322"/>
          </w:tcPr>
          <w:p>
            <w:pPr>
              <w:pStyle w:val="null3"/>
            </w:pPr>
            <w:r>
              <w:rPr/>
              <w:t>磋商响应文件加盖供应商单位公章或签字</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有效期达到磋商文件的要求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选择性报价</w:t>
            </w:r>
          </w:p>
        </w:tc>
        <w:tc>
          <w:tcPr>
            <w:tcW w:type="dxa" w:w="3322"/>
          </w:tcPr>
          <w:p>
            <w:pPr>
              <w:pStyle w:val="null3"/>
            </w:pPr>
            <w:r>
              <w:rPr/>
              <w:t>供应商磋商报价未出现选择性报价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报价不得超出采购预算或最高限价</w:t>
            </w:r>
          </w:p>
        </w:tc>
        <w:tc>
          <w:tcPr>
            <w:tcW w:type="dxa" w:w="3322"/>
          </w:tcPr>
          <w:p>
            <w:pPr>
              <w:pStyle w:val="null3"/>
            </w:pPr>
            <w:r>
              <w:rPr/>
              <w:t>磋商报价未超出采购预算或最高限价</w:t>
            </w:r>
          </w:p>
        </w:tc>
        <w:tc>
          <w:tcPr>
            <w:tcW w:type="dxa" w:w="1661"/>
          </w:tcPr>
          <w:p>
            <w:pPr>
              <w:pStyle w:val="null3"/>
            </w:pPr>
            <w:r>
              <w:rPr/>
              <w:t>保额报价表 报价表</w:t>
            </w:r>
          </w:p>
        </w:tc>
      </w:tr>
      <w:tr>
        <w:tc>
          <w:tcPr>
            <w:tcW w:type="dxa" w:w="831"/>
          </w:tcPr>
          <w:p>
            <w:pPr>
              <w:pStyle w:val="null3"/>
            </w:pPr>
            <w:r>
              <w:rPr/>
              <w:t>6</w:t>
            </w:r>
          </w:p>
        </w:tc>
        <w:tc>
          <w:tcPr>
            <w:tcW w:type="dxa" w:w="2492"/>
          </w:tcPr>
          <w:p>
            <w:pPr>
              <w:pStyle w:val="null3"/>
            </w:pPr>
            <w:r>
              <w:rPr/>
              <w:t>响应文件中技术、服务内容须达到采购要求，不得出现重大负偏差，降低服务要求</w:t>
            </w:r>
          </w:p>
        </w:tc>
        <w:tc>
          <w:tcPr>
            <w:tcW w:type="dxa" w:w="3322"/>
          </w:tcPr>
          <w:p>
            <w:pPr>
              <w:pStyle w:val="null3"/>
            </w:pPr>
            <w:r>
              <w:rPr/>
              <w:t>技术、服务内容达到采购要求，未出现重大负偏差，未降低了服务要求</w:t>
            </w:r>
          </w:p>
        </w:tc>
        <w:tc>
          <w:tcPr>
            <w:tcW w:type="dxa" w:w="1661"/>
          </w:tcPr>
          <w:p>
            <w:pPr>
              <w:pStyle w:val="null3"/>
            </w:pPr>
            <w:r>
              <w:rPr/>
              <w:t>采购需求偏离表</w:t>
            </w:r>
          </w:p>
        </w:tc>
      </w:tr>
      <w:tr>
        <w:tc>
          <w:tcPr>
            <w:tcW w:type="dxa" w:w="831"/>
          </w:tcPr>
          <w:p>
            <w:pPr>
              <w:pStyle w:val="null3"/>
            </w:pPr>
            <w:r>
              <w:rPr/>
              <w:t>7</w:t>
            </w:r>
          </w:p>
        </w:tc>
        <w:tc>
          <w:tcPr>
            <w:tcW w:type="dxa" w:w="2492"/>
          </w:tcPr>
          <w:p>
            <w:pPr>
              <w:pStyle w:val="null3"/>
            </w:pPr>
            <w:r>
              <w:rPr/>
              <w:t>响应文件中不得附加了采购人难以接受的条件</w:t>
            </w:r>
          </w:p>
        </w:tc>
        <w:tc>
          <w:tcPr>
            <w:tcW w:type="dxa" w:w="3322"/>
          </w:tcPr>
          <w:p>
            <w:pPr>
              <w:pStyle w:val="null3"/>
            </w:pPr>
            <w:r>
              <w:rPr/>
              <w:t>响应文件中未附加采购人难以接受的条件</w:t>
            </w:r>
          </w:p>
        </w:tc>
        <w:tc>
          <w:tcPr>
            <w:tcW w:type="dxa" w:w="1661"/>
          </w:tcPr>
          <w:p>
            <w:pPr>
              <w:pStyle w:val="null3"/>
            </w:pPr>
            <w:r>
              <w:rPr/>
              <w:t>商务要求（合同草案条款）偏离表</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t>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1、对本项目人员保险的实际需求理解，理解分析到位，按其响应程度计0～5分。 2、针对本项目制定具体的人员投保方案，思路清晰，流程合理，符合本项目实际需求，按其响应程度计0～5分。 3、针对本项目制定具体的理赔方案，包含完整成套的理赔流程，保险理赔措施，赔付范围及赔付比例、快速理赔、先行垫付等，按其响应程度计0～5分。 4、能够定期提供优质的保险服务培训和能定期对采购人进行回访，按其响应程度计0～5分。 5、针对本项目投保人员的信息安全保密方案，按其响应程度计0～5分。 6、根据供应商的业务效率进行评审， 承保业务效率高，能在最短时间内出具正式保单，按其响应程度计0～5分。 7、有严格的投诉处理方案。以确保服务质量，按其响应程度计0～5分。</w:t>
            </w:r>
          </w:p>
        </w:tc>
        <w:tc>
          <w:tcPr>
            <w:tcW w:type="dxa" w:w="831"/>
          </w:tcPr>
          <w:p>
            <w:pPr>
              <w:pStyle w:val="null3"/>
              <w:jc w:val="right"/>
            </w:pPr>
            <w:r>
              <w:rPr/>
              <w:t>35.0000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服务保障</w:t>
            </w:r>
          </w:p>
        </w:tc>
        <w:tc>
          <w:tcPr>
            <w:tcW w:type="dxa" w:w="2492"/>
          </w:tcPr>
          <w:p>
            <w:pPr>
              <w:pStyle w:val="null3"/>
            </w:pPr>
            <w:r>
              <w:rPr/>
              <w:t>1、供应商具备完善管理构架和管理制度，按内容的完整程度每项计0~3分，满分9分。 1-1、各部门、各岗位工作职能、岗位职责、工作标准；1-2、各部门、各岗位管理制度； 1-3、内控方案。 2、偿付能力充足率：供应商应提供上一年度经第三方审计机构出具的偿付能力报告，综合偿付能力190%以上得5分，综合偿付能力（140%-190%]得4分，综合偿付能力（100%-140%]得3分。综合偿付能力低于100%不得分（需提供总公司或分公司经第三方机构审计的年度末偿付能力报告，未提供的不得分）。 3、根据供应商业务网点服务覆盖范围，能满足所承诺的服务，按其响应程度计0～5分。</w:t>
            </w:r>
          </w:p>
        </w:tc>
        <w:tc>
          <w:tcPr>
            <w:tcW w:type="dxa" w:w="831"/>
          </w:tcPr>
          <w:p>
            <w:pPr>
              <w:pStyle w:val="null3"/>
              <w:jc w:val="right"/>
            </w:pPr>
            <w:r>
              <w:rPr/>
              <w:t>19.0000</w:t>
            </w:r>
          </w:p>
        </w:tc>
        <w:tc>
          <w:tcPr>
            <w:tcW w:type="dxa" w:w="831"/>
          </w:tcPr>
          <w:p>
            <w:pPr>
              <w:pStyle w:val="null3"/>
            </w:pPr>
            <w:r>
              <w:rPr/>
              <w:t>主观</w:t>
            </w:r>
          </w:p>
        </w:tc>
        <w:tc>
          <w:tcPr>
            <w:tcW w:type="dxa" w:w="1661"/>
          </w:tcPr>
          <w:p>
            <w:pPr>
              <w:pStyle w:val="null3"/>
            </w:pPr>
            <w:r>
              <w:rPr/>
              <w:t>服务保障</w:t>
            </w:r>
          </w:p>
        </w:tc>
      </w:tr>
      <w:tr>
        <w:tc>
          <w:tcPr>
            <w:tcW w:type="dxa" w:w="831"/>
            <w:vMerge/>
          </w:tcPr>
          <w:p/>
        </w:tc>
        <w:tc>
          <w:tcPr>
            <w:tcW w:type="dxa" w:w="1661"/>
          </w:tcPr>
          <w:p>
            <w:pPr>
              <w:pStyle w:val="null3"/>
            </w:pPr>
            <w:r>
              <w:rPr/>
              <w:t>项目 团队</w:t>
            </w:r>
          </w:p>
        </w:tc>
        <w:tc>
          <w:tcPr>
            <w:tcW w:type="dxa" w:w="2492"/>
          </w:tcPr>
          <w:p>
            <w:pPr>
              <w:pStyle w:val="null3"/>
            </w:pPr>
            <w:r>
              <w:rPr/>
              <w:t>针对本项目配备了专业的服务团队，人员结构、数量满足本项目实际需求，落实具体的联系人，联系方式： 1、提供承保人员的相关简历，按其响应程度计0～4分。 2、提供理赔人员的相关简历，按其响应程度计0～4分。 3、提供风险管理人员的相关简历，按其响应程度计0～4分。 4、协调沟通等不同专业的其他服务人员简历，按其响应程度计0～4分。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项目团队</w:t>
            </w:r>
          </w:p>
        </w:tc>
      </w:tr>
      <w:tr>
        <w:tc>
          <w:tcPr>
            <w:tcW w:type="dxa" w:w="831"/>
            <w:vMerge/>
          </w:tcPr>
          <w:p/>
        </w:tc>
        <w:tc>
          <w:tcPr>
            <w:tcW w:type="dxa" w:w="1661"/>
          </w:tcPr>
          <w:p>
            <w:pPr>
              <w:pStyle w:val="null3"/>
            </w:pPr>
            <w:r>
              <w:rPr/>
              <w:t>售后服务</w:t>
            </w:r>
          </w:p>
        </w:tc>
        <w:tc>
          <w:tcPr>
            <w:tcW w:type="dxa" w:w="2492"/>
          </w:tcPr>
          <w:p>
            <w:pPr>
              <w:pStyle w:val="null3"/>
            </w:pPr>
            <w:r>
              <w:rPr/>
              <w:t>1、提供具体的售后服务保障措施，按其响应程度计0～5分。 2、供应商具有较强的本地化服务能力，提供相关证明材料，计5分。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售后服务</w:t>
            </w:r>
          </w:p>
        </w:tc>
      </w:tr>
      <w:tr>
        <w:tc>
          <w:tcPr>
            <w:tcW w:type="dxa" w:w="831"/>
            <w:vMerge/>
          </w:tcPr>
          <w:p/>
        </w:tc>
        <w:tc>
          <w:tcPr>
            <w:tcW w:type="dxa" w:w="1661"/>
          </w:tcPr>
          <w:p>
            <w:pPr>
              <w:pStyle w:val="null3"/>
            </w:pPr>
            <w:r>
              <w:rPr/>
              <w:t>业绩</w:t>
            </w:r>
          </w:p>
        </w:tc>
        <w:tc>
          <w:tcPr>
            <w:tcW w:type="dxa" w:w="2492"/>
          </w:tcPr>
          <w:p>
            <w:pPr>
              <w:pStyle w:val="null3"/>
            </w:pPr>
            <w:r>
              <w:rPr/>
              <w:t>供应商提供2021年1月至今同类项目业绩，业绩以合同或中标（成交）通知书为依据，响应文件中附有其证明资料，每提供一个业绩证明计2分，满分10分。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满足磋商文件要求且最后报价最高的供应商的价格为磋商基准价，其价格分为满分。其他供应商的价格分统一按照下列公式计算：磋商报价得分=（最后磋商报价/磋商基准价）×价格权值</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保额报价表</w:t>
            </w:r>
          </w:p>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详见附件：保额报价表</w:t>
      </w:r>
    </w:p>
    <w:p>
      <w:pPr>
        <w:pStyle w:val="null3"/>
        <w:ind w:firstLine="960"/>
      </w:pPr>
      <w:r>
        <w:rPr/>
        <w:t>详见附件：采购需求偏离表</w:t>
      </w:r>
    </w:p>
    <w:p>
      <w:pPr>
        <w:pStyle w:val="null3"/>
        <w:ind w:firstLine="960"/>
      </w:pPr>
      <w:r>
        <w:rPr/>
        <w:t>详见附件：商务要求（合同草案条款）偏离表</w:t>
      </w:r>
    </w:p>
    <w:p>
      <w:pPr>
        <w:pStyle w:val="null3"/>
        <w:ind w:firstLine="960"/>
      </w:pPr>
      <w:r>
        <w:rPr/>
        <w:t>详见附件：服务方案</w:t>
      </w:r>
    </w:p>
    <w:p>
      <w:pPr>
        <w:pStyle w:val="null3"/>
        <w:ind w:firstLine="960"/>
      </w:pPr>
      <w:r>
        <w:rPr/>
        <w:t>详见附件：服务保障</w:t>
      </w:r>
    </w:p>
    <w:p>
      <w:pPr>
        <w:pStyle w:val="null3"/>
        <w:ind w:firstLine="960"/>
      </w:pPr>
      <w:r>
        <w:rPr/>
        <w:t>详见附件：项目团队</w:t>
      </w:r>
    </w:p>
    <w:p>
      <w:pPr>
        <w:pStyle w:val="null3"/>
        <w:ind w:firstLine="960"/>
      </w:pPr>
      <w:r>
        <w:rPr/>
        <w:t>详见附件：售后服务</w:t>
      </w:r>
    </w:p>
    <w:p>
      <w:pPr>
        <w:pStyle w:val="null3"/>
        <w:ind w:firstLine="960"/>
      </w:pPr>
      <w:r>
        <w:rPr/>
        <w:t>详见附件：业绩</w:t>
      </w:r>
    </w:p>
    <w:p>
      <w:pPr>
        <w:pStyle w:val="null3"/>
        <w:ind w:firstLine="960"/>
      </w:pPr>
      <w:r>
        <w:rPr/>
        <w:t>详见附件：资格证明文件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