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版本号：240929001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曲江新区24所委托管理公办幼儿园清产核资审计项目</w:t>
      </w:r>
    </w:p>
    <w:p>
      <w:pPr>
        <w:pStyle w:val="null3"/>
        <w:jc w:val="center"/>
        <w:outlineLvl w:val="2"/>
      </w:pPr>
      <w:r>
        <w:rPr>
          <w:sz w:val="28"/>
          <w:b/>
        </w:rPr>
        <w:t>采购项目编号：</w:t>
      </w:r>
      <w:r>
        <w:rPr>
          <w:sz w:val="28"/>
          <w:b/>
        </w:rPr>
        <w:t>正衡招字-[2024]-529号</w:t>
      </w:r>
      <w:r>
        <w:br/>
      </w:r>
      <w:r>
        <w:br/>
      </w:r>
      <w:r>
        <w:br/>
      </w:r>
    </w:p>
    <w:p>
      <w:pPr>
        <w:pStyle w:val="null3"/>
        <w:jc w:val="center"/>
        <w:outlineLvl w:val="2"/>
      </w:pPr>
      <w:r>
        <w:rPr>
          <w:sz w:val="28"/>
          <w:b/>
        </w:rPr>
        <w:t>西安曲江新区管理委员会</w:t>
      </w:r>
    </w:p>
    <w:p>
      <w:pPr>
        <w:pStyle w:val="null3"/>
        <w:jc w:val="center"/>
        <w:outlineLvl w:val="2"/>
      </w:pPr>
      <w:r>
        <w:rPr>
          <w:sz w:val="28"/>
          <w:b/>
        </w:rPr>
        <w:t>正衡工程项目管理有限公司</w:t>
      </w:r>
      <w:r>
        <w:rPr>
          <w:sz w:val="28"/>
          <w:b/>
        </w:rPr>
        <w:t>共同编制</w:t>
      </w:r>
    </w:p>
    <w:p>
      <w:pPr>
        <w:pStyle w:val="null3"/>
        <w:jc w:val="center"/>
        <w:outlineLvl w:val="2"/>
      </w:pPr>
      <w:r>
        <w:rPr>
          <w:sz w:val="28"/>
          <w:b/>
        </w:rPr>
        <w:t>2024年09月29日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正衡工程项目管理有限公司</w:t>
      </w:r>
      <w:r>
        <w:rPr/>
        <w:t>（以下简称“代理机构”）受</w:t>
      </w:r>
      <w:r>
        <w:rPr/>
        <w:t>西安曲江新区管理委员会</w:t>
      </w:r>
      <w:r>
        <w:rPr/>
        <w:t>委托，拟对</w:t>
      </w:r>
      <w:r>
        <w:rPr/>
        <w:t>曲江新区24所委托管理公办幼儿园清产核资审计项目</w:t>
      </w:r>
      <w:r>
        <w:rPr/>
        <w:t>采用竞争性磋商采购方式进行采购，兹邀请供应商参加本项目的竞争性磋商。</w:t>
      </w:r>
    </w:p>
    <w:p>
      <w:pPr>
        <w:pStyle w:val="null3"/>
        <w:outlineLvl w:val="2"/>
      </w:pPr>
      <w:r>
        <w:rPr>
          <w:sz w:val="28"/>
          <w:b/>
        </w:rPr>
        <w:t>一、项目编号：</w:t>
      </w:r>
      <w:r>
        <w:rPr>
          <w:sz w:val="28"/>
          <w:b/>
        </w:rPr>
        <w:t>正衡招字-[2024]-529号</w:t>
      </w:r>
    </w:p>
    <w:p>
      <w:pPr>
        <w:pStyle w:val="null3"/>
        <w:outlineLvl w:val="2"/>
      </w:pPr>
      <w:r>
        <w:rPr>
          <w:sz w:val="28"/>
          <w:b/>
        </w:rPr>
        <w:t>二、项目名称：</w:t>
      </w:r>
      <w:r>
        <w:rPr>
          <w:sz w:val="28"/>
          <w:b/>
        </w:rPr>
        <w:t>曲江新区24所委托管理公办幼儿园清产核资审计项目</w:t>
      </w:r>
    </w:p>
    <w:p>
      <w:pPr>
        <w:pStyle w:val="null3"/>
        <w:outlineLvl w:val="2"/>
      </w:pPr>
      <w:r>
        <w:rPr>
          <w:sz w:val="28"/>
          <w:b/>
        </w:rPr>
        <w:t>三、磋商项目简介</w:t>
      </w:r>
    </w:p>
    <w:p>
      <w:pPr>
        <w:pStyle w:val="null3"/>
        <w:ind w:firstLine="480"/>
      </w:pPr>
      <w:r>
        <w:rPr/>
        <w:t>为做好公办幼儿园委托管理工作事项，厘清24所幼儿园各项资产产权归属，做到各项资产权属清晰，债权债务情况有据可查，为后续国有资产规范管理提供数据支持。 拟委托具备专业资质的会计师事务所对24所公办幼儿园开展清产核资专项审计工作。参照财政部《中小学校财务制度》相关规定(政府举办的公办幼儿园参照执行)，对各公办幼儿园财产、债权、债务等进行全面清查，编制财产目录和债权、债务清单并出具审计报告。（具体内容详见竞争性磋商文件）， 简要技术要求、用途： 审计。</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采购包1（曲江新区24所委托管理公办幼儿园清产核资审计项目）：属于专门面向中小企业采购。</w:t>
      </w:r>
    </w:p>
    <w:p>
      <w:pPr>
        <w:pStyle w:val="null3"/>
        <w:ind w:firstLine="480"/>
      </w:pPr>
      <w:r>
        <w:rPr/>
        <w:t>（三）本项目的特定资格要求：</w:t>
      </w:r>
    </w:p>
    <w:p>
      <w:pPr>
        <w:pStyle w:val="null3"/>
      </w:pPr>
      <w:r>
        <w:rPr/>
        <w:t>采购包1：</w:t>
      </w:r>
    </w:p>
    <w:p>
      <w:pPr>
        <w:pStyle w:val="null3"/>
      </w:pPr>
      <w:r>
        <w:rPr/>
        <w:t>1、本项目的特定资格1：供应商具备财政部门颁发的会计事务所执业证书</w:t>
      </w:r>
    </w:p>
    <w:p>
      <w:pPr>
        <w:pStyle w:val="null3"/>
      </w:pPr>
      <w:r>
        <w:rPr/>
        <w:t>2、本项目的特定资格2：拟派项目负责人具备注册会计师执业资格；</w:t>
      </w:r>
    </w:p>
    <w:p>
      <w:pPr>
        <w:pStyle w:val="null3"/>
      </w:pPr>
      <w:r>
        <w:rPr/>
        <w:t>3、本项目的特定资格3：法定代表人直接参加磋商的 ，须出具法定代表人身份证明，法定代表人授权代表参加磋商的，须出具法定代表人授权书；</w:t>
      </w:r>
    </w:p>
    <w:p>
      <w:pPr>
        <w:pStyle w:val="null3"/>
      </w:pPr>
      <w:r>
        <w:rPr/>
        <w:t>4、本项目的特定资格4：未被“中国执行信息公开网”网站（http://zxgk.court.gov.cn/）列入失信被执行人名单，未被“信用中国” 网站（www.creditchina.gov.cn ）列入重大税收违法案件当事人名单，未被“中国政府采购网”（www.ccgp.gov.cn）列入政府采购严重违法失信行为记录名单被财政部门禁止参加政府采购活动（处罚决定规定的时间和地域范围内）；</w:t>
      </w:r>
    </w:p>
    <w:p>
      <w:pPr>
        <w:pStyle w:val="null3"/>
      </w:pPr>
      <w:r>
        <w:rPr/>
        <w:t>5、本项目的特定资格5：不接受联合体磋商。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西安曲江新区管理委员会</w:t>
      </w:r>
    </w:p>
    <w:p>
      <w:pPr>
        <w:pStyle w:val="null3"/>
      </w:pPr>
      <w:r>
        <w:rPr/>
        <w:t xml:space="preserve"> 地址： </w:t>
      </w:r>
      <w:r>
        <w:rPr/>
        <w:t>杜陵邑南路6号</w:t>
      </w:r>
    </w:p>
    <w:p>
      <w:pPr>
        <w:pStyle w:val="null3"/>
      </w:pPr>
      <w:r>
        <w:rPr/>
        <w:t xml:space="preserve"> 邮编： </w:t>
      </w:r>
      <w:r>
        <w:rPr/>
        <w:t>710061</w:t>
      </w:r>
    </w:p>
    <w:p>
      <w:pPr>
        <w:pStyle w:val="null3"/>
      </w:pPr>
      <w:r>
        <w:rPr/>
        <w:t xml:space="preserve"> 联系人： </w:t>
      </w:r>
      <w:r>
        <w:rPr/>
        <w:t>张玉</w:t>
      </w:r>
    </w:p>
    <w:p>
      <w:pPr>
        <w:pStyle w:val="null3"/>
      </w:pPr>
      <w:r>
        <w:rPr/>
        <w:t xml:space="preserve"> 联系电话： </w:t>
      </w:r>
      <w:r>
        <w:rPr/>
        <w:t>68660474</w:t>
      </w:r>
    </w:p>
    <w:p>
      <w:pPr>
        <w:pStyle w:val="null3"/>
        <w:outlineLvl w:val="3"/>
      </w:pPr>
      <w:r>
        <w:rPr>
          <w:sz w:val="24"/>
          <w:b/>
        </w:rPr>
        <w:t>代理机构：</w:t>
      </w:r>
      <w:r>
        <w:rPr>
          <w:sz w:val="24"/>
          <w:b/>
        </w:rPr>
        <w:t>正衡工程项目管理有限公司</w:t>
      </w:r>
    </w:p>
    <w:p>
      <w:pPr>
        <w:pStyle w:val="null3"/>
      </w:pPr>
      <w:r>
        <w:rPr/>
        <w:t xml:space="preserve"> 地址： </w:t>
      </w:r>
      <w:r>
        <w:rPr/>
        <w:t>西安市航天基地雁塔南路391号正衡金融广场A座18楼</w:t>
      </w:r>
    </w:p>
    <w:p>
      <w:pPr>
        <w:pStyle w:val="null3"/>
      </w:pPr>
      <w:r>
        <w:rPr/>
        <w:t xml:space="preserve"> 邮编： </w:t>
      </w:r>
      <w:r>
        <w:rPr/>
        <w:t>710100</w:t>
      </w:r>
    </w:p>
    <w:p>
      <w:pPr>
        <w:pStyle w:val="null3"/>
      </w:pPr>
      <w:r>
        <w:rPr/>
        <w:t xml:space="preserve"> 联系人： </w:t>
      </w:r>
      <w:r>
        <w:rPr/>
        <w:t>姚立涛、安维霞</w:t>
      </w:r>
    </w:p>
    <w:p>
      <w:pPr>
        <w:pStyle w:val="null3"/>
      </w:pPr>
      <w:r>
        <w:rPr/>
        <w:t xml:space="preserve"> 联系电话： </w:t>
      </w:r>
      <w:r>
        <w:rPr/>
        <w:t>029-87515810</w:t>
      </w:r>
    </w:p>
    <w:p>
      <w:pPr>
        <w:pStyle w:val="null3"/>
        <w:outlineLvl w:val="3"/>
      </w:pPr>
      <w:r>
        <w:rPr>
          <w:sz w:val="24"/>
          <w:b/>
        </w:rPr>
        <w:t>采购监督机构：</w:t>
      </w:r>
      <w:r>
        <w:rPr>
          <w:sz w:val="24"/>
          <w:b/>
        </w:rPr>
        <w:t>西安曲江新区政府采购管理股</w:t>
      </w:r>
    </w:p>
    <w:p>
      <w:pPr>
        <w:pStyle w:val="null3"/>
        <w:ind w:firstLine="480"/>
      </w:pPr>
      <w:r>
        <w:rPr/>
        <w:t>联系人：</w:t>
      </w:r>
      <w:r>
        <w:rPr/>
        <w:t>寇雪莲</w:t>
      </w:r>
    </w:p>
    <w:p>
      <w:pPr>
        <w:pStyle w:val="null3"/>
        <w:ind w:firstLine="480"/>
      </w:pPr>
      <w:r>
        <w:rPr/>
        <w:t>联系电话：</w:t>
      </w:r>
      <w:r>
        <w:rPr/>
        <w:t>68660321</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采购包1：240,000.00元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代理服务费收费标准：本项目收取代理服务费 代理服务费用收取对象：中标/成交供应商 代理服务费收费标准：由成交供应商按国家计委颁发的《招标代理服务收费管理暂行办法》（ 计价格[2002]1980号）的标准下浮30%计取，在领取成交通知书时向采购代理机构一次付清招标代理服务费。 招标代理费缴纳到以下账号： 户名：正衡工程项目管理有限公司 账号：129902420310901 开户行：招商银行西安和平路支行</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西安曲江新区管理委员会</w:t>
      </w:r>
      <w:r>
        <w:rPr/>
        <w:t>和</w:t>
      </w:r>
      <w:r>
        <w:rPr/>
        <w:t>正衡工程项目管理有限公司</w:t>
      </w:r>
      <w:r>
        <w:rPr/>
        <w:t>享有。对磋商文件中供应商参加本次政府采购活动应当具备的条件，磋商项目技术、服务、商务及其他要求，评审细则及标准由</w:t>
      </w:r>
      <w:r>
        <w:rPr/>
        <w:t>西安曲江新区管理委员会</w:t>
      </w:r>
      <w:r>
        <w:rPr/>
        <w:t>负责解释。除上述磋商文件内容，其他内容由</w:t>
      </w:r>
      <w:r>
        <w:rPr/>
        <w:t>正衡工程项目管理有限公司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西安曲江新区管理委员会</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正衡工程项目管理有限公司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按照竞争性磋商文件及合同规定执行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正衡工程项目管理有限公司</w:t>
      </w:r>
      <w:r>
        <w:rPr/>
        <w:t xml:space="preserve"> 负责答复；供应商对除采购需求外的采购文件的询问、质疑由</w:t>
      </w:r>
      <w:r>
        <w:rPr/>
        <w:t>正衡工程项目管理有限公司</w:t>
      </w:r>
      <w:r>
        <w:rPr/>
        <w:t xml:space="preserve"> 负责答复；供应商对采购过程、采购结果的询问、质疑由 </w:t>
      </w:r>
      <w:r>
        <w:rPr/>
        <w:t>正衡工程项目管理有限公司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联系人：姚立涛、安维霞</w:t>
      </w:r>
    </w:p>
    <w:p>
      <w:pPr>
        <w:pStyle w:val="null3"/>
      </w:pPr>
      <w:r>
        <w:rPr/>
        <w:t>联系电话：029-87515810</w:t>
      </w:r>
    </w:p>
    <w:p>
      <w:pPr>
        <w:pStyle w:val="null3"/>
      </w:pPr>
      <w:r>
        <w:rPr/>
        <w:t>地址：西安市航天基地雁塔南路391号正衡金融广场A座18楼</w:t>
      </w:r>
    </w:p>
    <w:p>
      <w:pPr>
        <w:pStyle w:val="null3"/>
      </w:pPr>
      <w:r>
        <w:rPr/>
        <w:t>邮编：710100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为做好公办幼儿园委托管理工作事项，厘清24所幼儿园各项资产产权归属，做到各项资产权属清晰，债权债务情况有据可查，为后续国有资产规范管理提供数据支持。 拟委托具备专业资质的会计师事务所对24所公办幼儿园开展清产核资专项审计工作。参照财政部《中小学校财务制度》相关规定(政府举办的公办幼儿园参照执行)，对各公办幼儿园财产、债权、债务等进行全面清查，编制财产目录和债权、债务清单并出具审计报告。</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240,000.00</w:t>
      </w:r>
    </w:p>
    <w:p>
      <w:pPr>
        <w:pStyle w:val="null3"/>
      </w:pPr>
      <w:r>
        <w:rPr/>
        <w:t>采购包最高限价（元）: 240,000.00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240000</w:t>
            </w:r>
          </w:p>
        </w:tc>
        <w:tc>
          <w:tcPr>
            <w:tcW w:type="dxa" w:w="831"/>
          </w:tcPr>
          <w:p>
            <w:pPr>
              <w:pStyle w:val="null3"/>
              <w:jc w:val="right"/>
            </w:pPr>
            <w:r>
              <w:rPr/>
              <w:t>24.00</w:t>
            </w:r>
          </w:p>
        </w:tc>
        <w:tc>
          <w:tcPr>
            <w:tcW w:type="dxa" w:w="831"/>
          </w:tcPr>
          <w:p>
            <w:pPr>
              <w:pStyle w:val="null3"/>
              <w:jc w:val="right"/>
            </w:pPr>
            <w:r>
              <w:rPr/>
              <w:t>240,000.00</w:t>
            </w:r>
          </w:p>
        </w:tc>
        <w:tc>
          <w:tcPr>
            <w:tcW w:type="dxa" w:w="831"/>
          </w:tcPr>
          <w:p>
            <w:pPr>
              <w:pStyle w:val="null3"/>
            </w:pPr>
            <w:r>
              <w:rPr/>
              <w:t>个</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标的名称：240000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一、</w:t>
            </w:r>
            <w:r>
              <w:rPr>
                <w:rFonts w:ascii="宋体" w:hAnsi="宋体" w:cs="宋体" w:eastAsia="宋体"/>
                <w:sz w:val="20"/>
              </w:rPr>
              <w:t>项目名称</w:t>
            </w:r>
            <w:r>
              <w:rPr>
                <w:rFonts w:ascii="宋体" w:hAnsi="宋体" w:cs="宋体" w:eastAsia="宋体"/>
                <w:sz w:val="20"/>
              </w:rPr>
              <w:t>曲江新区</w:t>
            </w:r>
            <w:r>
              <w:rPr>
                <w:rFonts w:ascii="宋体" w:hAnsi="宋体" w:cs="宋体" w:eastAsia="宋体"/>
                <w:sz w:val="20"/>
              </w:rPr>
              <w:t>24所委托管理公办幼儿园清产核资审计</w:t>
            </w:r>
            <w:r>
              <w:rPr>
                <w:rFonts w:ascii="宋体" w:hAnsi="宋体" w:cs="宋体" w:eastAsia="宋体"/>
                <w:sz w:val="20"/>
              </w:rPr>
              <w:t>项目</w:t>
            </w:r>
          </w:p>
          <w:p>
            <w:pPr>
              <w:pStyle w:val="null3"/>
              <w:ind w:firstLine="400"/>
              <w:jc w:val="both"/>
            </w:pPr>
            <w:r>
              <w:rPr>
                <w:rFonts w:ascii="宋体" w:hAnsi="宋体" w:cs="宋体" w:eastAsia="宋体"/>
                <w:sz w:val="20"/>
              </w:rPr>
              <w:t>二、项目概况</w:t>
            </w:r>
          </w:p>
          <w:p>
            <w:pPr>
              <w:pStyle w:val="null3"/>
              <w:ind w:left="135" w:firstLine="400"/>
              <w:jc w:val="both"/>
            </w:pPr>
            <w:r>
              <w:rPr>
                <w:rFonts w:ascii="宋体" w:hAnsi="宋体" w:cs="宋体" w:eastAsia="宋体"/>
                <w:sz w:val="20"/>
              </w:rPr>
              <w:t>为做好公办幼儿园委托管理工作事项，厘清</w:t>
            </w:r>
            <w:r>
              <w:rPr>
                <w:rFonts w:ascii="宋体" w:hAnsi="宋体" w:cs="宋体" w:eastAsia="宋体"/>
                <w:sz w:val="20"/>
              </w:rPr>
              <w:t>24所幼儿园各项资产产权归属，做到各项资产权属清晰，债权债务情况有据可查，为后续国有资产规范管理提供数据支持。</w:t>
            </w:r>
          </w:p>
          <w:p>
            <w:pPr>
              <w:pStyle w:val="null3"/>
              <w:ind w:left="135"/>
              <w:jc w:val="both"/>
            </w:pPr>
            <w:r>
              <w:rPr>
                <w:rFonts w:ascii="宋体" w:hAnsi="宋体" w:cs="宋体" w:eastAsia="宋体"/>
                <w:sz w:val="20"/>
              </w:rPr>
              <w:t>拟委托具备专业资质的会计师事务所对</w:t>
            </w:r>
            <w:r>
              <w:rPr>
                <w:rFonts w:ascii="宋体" w:hAnsi="宋体" w:cs="宋体" w:eastAsia="宋体"/>
                <w:sz w:val="20"/>
              </w:rPr>
              <w:t>24所公办幼儿园开展清产核资专项审计工作。参照财政部《中小学校财务制度》相关规定(政府举办的公办幼儿园参照执行)，对各公办幼儿园财产、债权、债务等进行全面清查，编制财产目录和债权、债务清单并出具审计报告。</w:t>
            </w:r>
          </w:p>
          <w:p>
            <w:pPr>
              <w:pStyle w:val="null3"/>
              <w:ind w:left="135" w:firstLine="400"/>
              <w:jc w:val="both"/>
            </w:pPr>
            <w:r>
              <w:rPr>
                <w:rFonts w:ascii="宋体" w:hAnsi="宋体" w:cs="宋体" w:eastAsia="宋体"/>
                <w:sz w:val="20"/>
              </w:rPr>
              <w:t>三、其他要求</w:t>
            </w:r>
          </w:p>
          <w:p>
            <w:pPr>
              <w:pStyle w:val="null3"/>
              <w:ind w:firstLine="600"/>
              <w:jc w:val="both"/>
            </w:pPr>
            <w:r>
              <w:rPr>
                <w:rFonts w:ascii="宋体" w:hAnsi="宋体" w:cs="宋体" w:eastAsia="宋体"/>
                <w:sz w:val="20"/>
              </w:rPr>
              <w:t>1．</w:t>
            </w:r>
            <w:r>
              <w:rPr>
                <w:rFonts w:ascii="宋体" w:hAnsi="宋体" w:cs="宋体" w:eastAsia="宋体"/>
                <w:sz w:val="20"/>
              </w:rPr>
              <w:t>乙</w:t>
            </w:r>
            <w:r>
              <w:rPr>
                <w:rFonts w:ascii="宋体" w:hAnsi="宋体" w:cs="宋体" w:eastAsia="宋体"/>
                <w:sz w:val="20"/>
              </w:rPr>
              <w:t>方根据中国注册会计师审计准则（以下简称审计准则）的规定执行审计工作。审计准则要求注册会计师遵守中国注册会计师职业道德守则，计划和执行审计工作以对财务报表是否不存在重大错报获取合理保证。</w:t>
            </w:r>
          </w:p>
          <w:p>
            <w:pPr>
              <w:pStyle w:val="null3"/>
              <w:ind w:firstLine="600"/>
              <w:jc w:val="both"/>
            </w:pPr>
            <w:r>
              <w:rPr>
                <w:rFonts w:ascii="宋体" w:hAnsi="宋体" w:cs="宋体" w:eastAsia="宋体"/>
                <w:sz w:val="20"/>
              </w:rPr>
              <w:t>2．按照约定时间完成审计工作，出具审计报告。</w:t>
            </w:r>
          </w:p>
          <w:p>
            <w:pPr>
              <w:pStyle w:val="null3"/>
              <w:jc w:val="both"/>
            </w:pPr>
            <w:r>
              <w:rPr>
                <w:rFonts w:ascii="&quot;times new roman&quot;" w:hAnsi="&quot;times new roman&quot;" w:cs="&quot;times new roman&quot;" w:eastAsia="&quot;times new roman&quot;"/>
                <w:sz w:val="21"/>
              </w:rPr>
              <w:t xml:space="preserve"> </w:t>
            </w:r>
            <w:r>
              <w:rPr>
                <w:rFonts w:ascii="宋体" w:hAnsi="宋体" w:cs="宋体" w:eastAsia="宋体"/>
                <w:sz w:val="20"/>
              </w:rPr>
              <w:t xml:space="preserve">     </w:t>
            </w:r>
            <w:r>
              <w:rPr>
                <w:rFonts w:ascii="宋体" w:hAnsi="宋体" w:cs="宋体" w:eastAsia="宋体"/>
                <w:sz w:val="20"/>
              </w:rPr>
              <w:t>3</w:t>
            </w:r>
            <w:r>
              <w:rPr>
                <w:rFonts w:ascii="宋体" w:hAnsi="宋体" w:cs="宋体" w:eastAsia="宋体"/>
                <w:sz w:val="20"/>
              </w:rPr>
              <w:t>．除下列情况外，乙方应当对执行业务过程中知悉的甲方信息予以保密：</w:t>
            </w:r>
          </w:p>
          <w:p>
            <w:pPr>
              <w:pStyle w:val="null3"/>
              <w:ind w:firstLine="400"/>
              <w:jc w:val="both"/>
            </w:pPr>
            <w:r>
              <w:rPr>
                <w:rFonts w:ascii="宋体" w:hAnsi="宋体" w:cs="宋体" w:eastAsia="宋体"/>
                <w:sz w:val="20"/>
              </w:rPr>
              <w:t>(1)法律法规允许披露，并取得甲方的授权；(2)根据法律法规的要求，为法律诉讼、仲裁准备文件或提供证据，以及向监管机构报告发现的违法行为；(3)在法律法规允许的情况下，在法律诉讼、仲裁中维护自己的合法权益；(4)接受注册会计师协会或监管机构的执业质量检查，答复其询问和调查；(5)法律法规、执业准则和职业道德规范规定的其他情形。</w:t>
            </w:r>
          </w:p>
          <w:p>
            <w:pPr>
              <w:pStyle w:val="null3"/>
              <w:ind w:firstLine="600"/>
              <w:jc w:val="both"/>
            </w:pPr>
            <w:r>
              <w:rPr>
                <w:rFonts w:ascii="宋体" w:hAnsi="宋体" w:cs="宋体" w:eastAsia="宋体"/>
                <w:sz w:val="20"/>
              </w:rPr>
              <w:t>4</w:t>
            </w:r>
            <w:r>
              <w:rPr>
                <w:rFonts w:ascii="宋体" w:hAnsi="宋体" w:cs="宋体" w:eastAsia="宋体"/>
                <w:sz w:val="20"/>
              </w:rPr>
              <w:t>．</w:t>
            </w:r>
            <w:r>
              <w:rPr>
                <w:rFonts w:ascii="宋体" w:hAnsi="宋体" w:cs="宋体" w:eastAsia="宋体"/>
                <w:sz w:val="20"/>
              </w:rPr>
              <w:t>审计报告（每个幼儿园</w:t>
            </w:r>
            <w:r>
              <w:rPr>
                <w:rFonts w:ascii="宋体" w:hAnsi="宋体" w:cs="宋体" w:eastAsia="宋体"/>
                <w:sz w:val="20"/>
              </w:rPr>
              <w:t>4份审计报告）。</w:t>
            </w:r>
          </w:p>
        </w:tc>
      </w:tr>
    </w:tbl>
    <w:p>
      <w:pPr>
        <w:pStyle w:val="null3"/>
        <w:outlineLvl w:val="2"/>
      </w:pPr>
      <w:r>
        <w:rPr>
          <w:sz w:val="28"/>
          <w:b/>
        </w:rPr>
        <w:t>3.2.3人员配置要求</w:t>
      </w:r>
    </w:p>
    <w:p>
      <w:pPr>
        <w:pStyle w:val="null3"/>
      </w:pPr>
      <w:r>
        <w:rPr/>
        <w:t>采购包1：</w:t>
      </w:r>
    </w:p>
    <w:p>
      <w:pPr>
        <w:pStyle w:val="null3"/>
      </w:pPr>
      <w:r>
        <w:rPr/>
        <w:t>详见采购内容、服务要求</w:t>
      </w:r>
    </w:p>
    <w:p>
      <w:pPr>
        <w:pStyle w:val="null3"/>
        <w:outlineLvl w:val="2"/>
      </w:pPr>
      <w:r>
        <w:rPr>
          <w:sz w:val="28"/>
          <w:b/>
        </w:rPr>
        <w:t>3.2.4设施设备要求</w:t>
      </w:r>
    </w:p>
    <w:p>
      <w:pPr>
        <w:pStyle w:val="null3"/>
      </w:pPr>
      <w:r>
        <w:rPr/>
        <w:t>采购包1：</w:t>
      </w:r>
    </w:p>
    <w:p>
      <w:pPr>
        <w:pStyle w:val="null3"/>
      </w:pPr>
      <w:r>
        <w:rPr/>
        <w:t>详见采购内容、服务要求</w:t>
      </w:r>
    </w:p>
    <w:p>
      <w:pPr>
        <w:pStyle w:val="null3"/>
        <w:outlineLvl w:val="2"/>
      </w:pPr>
      <w:r>
        <w:rPr>
          <w:sz w:val="28"/>
          <w:b/>
        </w:rPr>
        <w:t>3.2.5其他要求</w:t>
      </w:r>
    </w:p>
    <w:p>
      <w:pPr>
        <w:pStyle w:val="null3"/>
      </w:pPr>
      <w:r>
        <w:rPr/>
        <w:t>采购包1：</w:t>
      </w:r>
    </w:p>
    <w:p>
      <w:pPr>
        <w:pStyle w:val="null3"/>
      </w:pPr>
      <w:r>
        <w:rPr/>
        <w:t>无</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2024年12月15日前完成</w:t>
      </w:r>
    </w:p>
    <w:p>
      <w:pPr>
        <w:pStyle w:val="null3"/>
        <w:outlineLvl w:val="3"/>
      </w:pPr>
      <w:r>
        <w:rPr>
          <w:sz w:val="24"/>
          <w:b/>
        </w:rPr>
        <w:t>3.3.2服务地点</w:t>
      </w:r>
    </w:p>
    <w:p>
      <w:pPr>
        <w:pStyle w:val="null3"/>
      </w:pPr>
      <w:r>
        <w:rPr/>
        <w:t>采购包1：</w:t>
      </w:r>
    </w:p>
    <w:p>
      <w:pPr>
        <w:pStyle w:val="null3"/>
      </w:pPr>
      <w:r>
        <w:rPr/>
        <w:t>曲江新区</w:t>
      </w:r>
    </w:p>
    <w:p>
      <w:pPr>
        <w:pStyle w:val="null3"/>
        <w:outlineLvl w:val="3"/>
      </w:pPr>
      <w:r>
        <w:rPr>
          <w:sz w:val="24"/>
          <w:b/>
        </w:rPr>
        <w:t>3.3.3考核（验收）标准和方法</w:t>
      </w:r>
    </w:p>
    <w:p>
      <w:pPr>
        <w:pStyle w:val="null3"/>
      </w:pPr>
      <w:r>
        <w:rPr/>
        <w:t>采购包1：</w:t>
      </w:r>
    </w:p>
    <w:p>
      <w:pPr>
        <w:pStyle w:val="null3"/>
      </w:pPr>
      <w:r>
        <w:rPr/>
        <w:t>按照竞争性磋商文件及合同规定执行</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本合同签订后</w:t>
      </w:r>
      <w:r>
        <w:rPr/>
        <w:t xml:space="preserve"> ，达到付款条件起 </w:t>
      </w:r>
      <w:r>
        <w:rPr/>
        <w:t>10</w:t>
      </w:r>
      <w:r>
        <w:rPr/>
        <w:t xml:space="preserve"> 日内，支付合同总金额的 </w:t>
      </w:r>
      <w:r>
        <w:rPr/>
        <w:t>40.00</w:t>
      </w:r>
      <w:r>
        <w:rPr/>
        <w:t>%。</w:t>
      </w:r>
    </w:p>
    <w:p>
      <w:pPr>
        <w:pStyle w:val="null3"/>
      </w:pPr>
      <w:r>
        <w:rPr/>
        <w:t>采购包1：</w:t>
      </w:r>
      <w:r>
        <w:rPr/>
        <w:t xml:space="preserve"> 付款条件说明： </w:t>
      </w:r>
      <w:r>
        <w:rPr/>
        <w:t>在本合同约定时间内完成项财务项审计工作任务并提交审计报告给甲方后</w:t>
      </w:r>
      <w:r>
        <w:rPr/>
        <w:t xml:space="preserve"> ，达到付款条件起 </w:t>
      </w:r>
      <w:r>
        <w:rPr/>
        <w:t>10</w:t>
      </w:r>
      <w:r>
        <w:rPr/>
        <w:t xml:space="preserve"> 日内，支付合同总金额的 </w:t>
      </w:r>
      <w:r>
        <w:rPr/>
        <w:t>60.00</w:t>
      </w:r>
      <w:r>
        <w:rPr/>
        <w:t>%。</w:t>
      </w:r>
    </w:p>
    <w:p>
      <w:pPr>
        <w:pStyle w:val="null3"/>
        <w:outlineLvl w:val="3"/>
      </w:pPr>
      <w:r>
        <w:rPr>
          <w:sz w:val="24"/>
          <w:b/>
        </w:rPr>
        <w:t>3.3.6违约责任及解决争议的方法</w:t>
      </w:r>
    </w:p>
    <w:p>
      <w:pPr>
        <w:pStyle w:val="null3"/>
      </w:pPr>
      <w:r>
        <w:rPr/>
        <w:t>采购包1：</w:t>
      </w:r>
    </w:p>
    <w:p>
      <w:pPr>
        <w:pStyle w:val="null3"/>
      </w:pPr>
      <w:r>
        <w:rPr/>
        <w:t>按照竞争性磋商文件及合同规定执行</w:t>
      </w:r>
    </w:p>
    <w:p>
      <w:pPr>
        <w:pStyle w:val="null3"/>
        <w:outlineLvl w:val="2"/>
      </w:pPr>
      <w:r>
        <w:rPr>
          <w:sz w:val="28"/>
          <w:b/>
        </w:rPr>
        <w:t>3.4其他要求</w:t>
      </w:r>
    </w:p>
    <w:p>
      <w:pPr>
        <w:pStyle w:val="null3"/>
      </w:pPr>
      <w:r>
        <w:rPr/>
        <w:t>1.各供应商应根据“陕西省财政厅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发布结果公告后，成交供应商应向采购人提交一正两副，书籍（胶装）方式装订的纸质文件（与电子文件内容一致） 。</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（1）具有独立承担民事责任的能力：企业法人需提供具有统一社会信用代码的营业执照，事业法人、其他组织需提供相关证明资料； （2）税收缴纳证明：提供截止至磋商时间前六个月内任意一个月份纳税证明或完税证明，纳税证明或完税证明上应有代收机构或税务机关的公章。依法免税的供应商应提供相关文件证明；（3）社会保障资金缴纳证明：提供截止至磋商时间前六个月内任意一个月份的社会保障资金缴存单据或社保机构开具的社会保险参保缴费情况证明，单据或证明上应有社保机构或代收机构的公章。依法不需要缴纳社会保障 资金的供应商应提供相关文件证明；（4）提供具有履行合同所必需的设备和专业技术能力的承诺函；（5）书面声明：参加本次政府采购活动前三年内在经营活动中没有重大违纪。</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提供审计事务所出具的2022年度或2023年度的财务报告（至少包括审计报告、资产负债表、利润表、现金流量表、所有者权益变动表及其附注，成立时间至提交响应文件截止时间不足一年的可提供成立后任意时段的资产负债表）或在开标日期前六个月内其基本开户银行出具的资信证明，或信用担保机构出具的投标担保函，以上三种形式的资料提供任何一种即可，（分支机构如无法提供财务审计报告，须出具包含分支机构的财务数据的总公司财务审计报告）</w:t>
            </w:r>
          </w:p>
        </w:tc>
        <w:tc>
          <w:tcPr>
            <w:tcW w:type="dxa" w:w="1661"/>
          </w:tcPr>
          <w:p>
            <w:pPr>
              <w:pStyle w:val="null3"/>
            </w:pPr>
            <w:r>
              <w:rPr/>
              <w:t>资格证明文件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t>资格证明文件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本项目的特定资格1</w:t>
            </w:r>
          </w:p>
        </w:tc>
        <w:tc>
          <w:tcPr>
            <w:tcW w:type="dxa" w:w="3322"/>
          </w:tcPr>
          <w:p>
            <w:pPr>
              <w:pStyle w:val="null3"/>
            </w:pPr>
            <w:r>
              <w:rPr/>
              <w:t>供应商具备财政部门颁发的会计事务所执业证书</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本项目的特定资格2</w:t>
            </w:r>
          </w:p>
        </w:tc>
        <w:tc>
          <w:tcPr>
            <w:tcW w:type="dxa" w:w="3322"/>
          </w:tcPr>
          <w:p>
            <w:pPr>
              <w:pStyle w:val="null3"/>
            </w:pPr>
            <w:r>
              <w:rPr/>
              <w:t>拟派项目负责人具备注册会计师执业资格；</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本项目的特定资格3</w:t>
            </w:r>
          </w:p>
        </w:tc>
        <w:tc>
          <w:tcPr>
            <w:tcW w:type="dxa" w:w="3322"/>
          </w:tcPr>
          <w:p>
            <w:pPr>
              <w:pStyle w:val="null3"/>
            </w:pPr>
            <w:r>
              <w:rPr/>
              <w:t>法定代表人直接参加磋商的 ，须出具法定代表人身份证明，法定代表人授权代表参加磋商的，须出具法定代表人授权书；</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本项目的特定资格4</w:t>
            </w:r>
          </w:p>
        </w:tc>
        <w:tc>
          <w:tcPr>
            <w:tcW w:type="dxa" w:w="3322"/>
          </w:tcPr>
          <w:p>
            <w:pPr>
              <w:pStyle w:val="null3"/>
            </w:pPr>
            <w:r>
              <w:rPr/>
              <w:t>未被“中国执行信息公开网”网站（http://zxgk.court.gov.cn/）列入失信被执行人名单，未被“信用中国” 网站（www.creditchina.gov.cn ）列入重大税收违法案件当事人名单，未被“中国政府采购网”（www.ccgp.gov.cn）列入政府采购严重违法失信行为记录名单被财政部门禁止参加政府采购活动（处罚决定规定的时间和地域范围内）；</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本项目的特定资格5</w:t>
            </w:r>
          </w:p>
        </w:tc>
        <w:tc>
          <w:tcPr>
            <w:tcW w:type="dxa" w:w="3322"/>
          </w:tcPr>
          <w:p>
            <w:pPr>
              <w:pStyle w:val="null3"/>
            </w:pPr>
            <w:r>
              <w:rPr/>
              <w:t>不接受联合体磋商。</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磋商报价函 报价明细表 标的清单 报价表</w:t>
            </w:r>
          </w:p>
        </w:tc>
      </w:tr>
      <w:tr>
        <w:tc>
          <w:tcPr>
            <w:tcW w:type="dxa" w:w="831"/>
          </w:tcPr>
          <w:p>
            <w:pPr>
              <w:pStyle w:val="null3"/>
            </w:pPr>
            <w:r>
              <w:rPr/>
              <w:t>2</w:t>
            </w:r>
          </w:p>
        </w:tc>
        <w:tc>
          <w:tcPr>
            <w:tcW w:type="dxa" w:w="2492"/>
          </w:tcPr>
          <w:p>
            <w:pPr>
              <w:pStyle w:val="null3"/>
            </w:pPr>
            <w:r>
              <w:rPr/>
              <w:t>竞争性磋商响应文件是否按照竞争性磋商文件要求的格式编写</w:t>
            </w:r>
          </w:p>
        </w:tc>
        <w:tc>
          <w:tcPr>
            <w:tcW w:type="dxa" w:w="3322"/>
          </w:tcPr>
          <w:p>
            <w:pPr>
              <w:pStyle w:val="null3"/>
            </w:pPr>
            <w:r>
              <w:rPr/>
              <w:t>竞争性磋商响应文件是否按照竞争性磋商文件要求的格式编写</w:t>
            </w:r>
          </w:p>
        </w:tc>
        <w:tc>
          <w:tcPr>
            <w:tcW w:type="dxa" w:w="1661"/>
          </w:tcPr>
          <w:p>
            <w:pPr>
              <w:pStyle w:val="null3"/>
            </w:pPr>
            <w:r>
              <w:rPr/>
              <w:t>磋商报价函 类似项目业绩一览表 中小企业声明函 磋商报价表 响应函 技术响应资料</w:t>
            </w:r>
          </w:p>
        </w:tc>
      </w:tr>
      <w:tr>
        <w:tc>
          <w:tcPr>
            <w:tcW w:type="dxa" w:w="831"/>
          </w:tcPr>
          <w:p>
            <w:pPr>
              <w:pStyle w:val="null3"/>
            </w:pPr>
            <w:r>
              <w:rPr/>
              <w:t>3</w:t>
            </w:r>
          </w:p>
        </w:tc>
        <w:tc>
          <w:tcPr>
            <w:tcW w:type="dxa" w:w="2492"/>
          </w:tcPr>
          <w:p>
            <w:pPr>
              <w:pStyle w:val="null3"/>
            </w:pPr>
            <w:r>
              <w:rPr/>
              <w:t>竞争性磋商响应文件的签署、加盖印章是否合格、有效</w:t>
            </w:r>
          </w:p>
        </w:tc>
        <w:tc>
          <w:tcPr>
            <w:tcW w:type="dxa" w:w="3322"/>
          </w:tcPr>
          <w:p>
            <w:pPr>
              <w:pStyle w:val="null3"/>
            </w:pPr>
            <w:r>
              <w:rPr/>
              <w:t>竞争性磋商响应文件的签署、加盖印章是否合格、有效</w:t>
            </w:r>
          </w:p>
        </w:tc>
        <w:tc>
          <w:tcPr>
            <w:tcW w:type="dxa" w:w="1661"/>
          </w:tcPr>
          <w:p>
            <w:pPr>
              <w:pStyle w:val="null3"/>
            </w:pPr>
            <w:r>
              <w:rPr/>
              <w:t>响应文件封面 磋商报价函 资格证明文件 类似项目业绩一览表 报价明细表 中小企业声明函 残疾人福利性单位声明函 陕西省政府采购供应商拒绝政府采购领域商业贿赂承诺书 磋商报价表 响应函 监狱企业的证明文件</w:t>
            </w:r>
          </w:p>
        </w:tc>
      </w:tr>
      <w:tr>
        <w:tc>
          <w:tcPr>
            <w:tcW w:type="dxa" w:w="831"/>
          </w:tcPr>
          <w:p>
            <w:pPr>
              <w:pStyle w:val="null3"/>
            </w:pPr>
            <w:r>
              <w:rPr/>
              <w:t>4</w:t>
            </w:r>
          </w:p>
        </w:tc>
        <w:tc>
          <w:tcPr>
            <w:tcW w:type="dxa" w:w="2492"/>
          </w:tcPr>
          <w:p>
            <w:pPr>
              <w:pStyle w:val="null3"/>
            </w:pPr>
            <w:r>
              <w:rPr/>
              <w:t>磋商报价是否未超过最高限价</w:t>
            </w:r>
          </w:p>
        </w:tc>
        <w:tc>
          <w:tcPr>
            <w:tcW w:type="dxa" w:w="3322"/>
          </w:tcPr>
          <w:p>
            <w:pPr>
              <w:pStyle w:val="null3"/>
            </w:pPr>
            <w:r>
              <w:rPr/>
              <w:t>磋商报价是否未超过最高限价</w:t>
            </w:r>
          </w:p>
        </w:tc>
        <w:tc>
          <w:tcPr>
            <w:tcW w:type="dxa" w:w="1661"/>
          </w:tcPr>
          <w:p>
            <w:pPr>
              <w:pStyle w:val="null3"/>
            </w:pPr>
            <w:r>
              <w:rPr/>
              <w:t>磋商报价函 报价明细表 标的清单 报价表 磋商报价表</w:t>
            </w:r>
          </w:p>
        </w:tc>
      </w:tr>
      <w:tr>
        <w:tc>
          <w:tcPr>
            <w:tcW w:type="dxa" w:w="831"/>
          </w:tcPr>
          <w:p>
            <w:pPr>
              <w:pStyle w:val="null3"/>
            </w:pPr>
            <w:r>
              <w:rPr/>
              <w:t>5</w:t>
            </w:r>
          </w:p>
        </w:tc>
        <w:tc>
          <w:tcPr>
            <w:tcW w:type="dxa" w:w="2492"/>
          </w:tcPr>
          <w:p>
            <w:pPr>
              <w:pStyle w:val="null3"/>
            </w:pPr>
            <w:r>
              <w:rPr/>
              <w:t>投标有效期是否符合竞争性磋商文件的要求</w:t>
            </w:r>
          </w:p>
        </w:tc>
        <w:tc>
          <w:tcPr>
            <w:tcW w:type="dxa" w:w="3322"/>
          </w:tcPr>
          <w:p>
            <w:pPr>
              <w:pStyle w:val="null3"/>
            </w:pPr>
            <w:r>
              <w:rPr/>
              <w:t>投标有效期是否符合竞争性磋商文件的要求</w:t>
            </w:r>
          </w:p>
        </w:tc>
        <w:tc>
          <w:tcPr>
            <w:tcW w:type="dxa" w:w="1661"/>
          </w:tcPr>
          <w:p>
            <w:pPr>
              <w:pStyle w:val="null3"/>
            </w:pPr>
            <w:r>
              <w:rPr/>
              <w:t>磋商报价函 响应函</w:t>
            </w:r>
          </w:p>
        </w:tc>
      </w:tr>
      <w:tr>
        <w:tc>
          <w:tcPr>
            <w:tcW w:type="dxa" w:w="831"/>
          </w:tcPr>
          <w:p>
            <w:pPr>
              <w:pStyle w:val="null3"/>
            </w:pPr>
            <w:r>
              <w:rPr/>
              <w:t>6</w:t>
            </w:r>
          </w:p>
        </w:tc>
        <w:tc>
          <w:tcPr>
            <w:tcW w:type="dxa" w:w="2492"/>
          </w:tcPr>
          <w:p>
            <w:pPr>
              <w:pStyle w:val="null3"/>
            </w:pPr>
            <w:r>
              <w:rPr/>
              <w:t>服务期是否符合竞争性磋商文件的要求</w:t>
            </w:r>
          </w:p>
        </w:tc>
        <w:tc>
          <w:tcPr>
            <w:tcW w:type="dxa" w:w="3322"/>
          </w:tcPr>
          <w:p>
            <w:pPr>
              <w:pStyle w:val="null3"/>
            </w:pPr>
            <w:r>
              <w:rPr/>
              <w:t>服务期是否符合竞争性磋商文件的要求</w:t>
            </w:r>
          </w:p>
        </w:tc>
        <w:tc>
          <w:tcPr>
            <w:tcW w:type="dxa" w:w="1661"/>
          </w:tcPr>
          <w:p>
            <w:pPr>
              <w:pStyle w:val="null3"/>
            </w:pPr>
            <w:r>
              <w:rPr/>
              <w:t>磋商报价函</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详细评审85.0000分</w:t>
            </w:r>
          </w:p>
          <w:p>
            <w:pPr>
              <w:pStyle w:val="null3"/>
            </w:pPr>
            <w:r>
              <w:rPr/>
              <w:t>报价得分15.0000分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工作方案</w:t>
            </w:r>
          </w:p>
        </w:tc>
        <w:tc>
          <w:tcPr>
            <w:tcW w:type="dxa" w:w="2492"/>
          </w:tcPr>
          <w:p>
            <w:pPr>
              <w:pStyle w:val="null3"/>
            </w:pPr>
            <w:r>
              <w:rPr/>
              <w:t>提供完整的审计方案、审计计划、调查搜集资料。工作时效及关键节点安排、工作方法。针对上述要求提供的方案说明描述详细、全面，逻辑清晰，满足采购人要求。 对于审计方案、审计计划、调查搜集资料工作时效及关键节点安排、工作方法均有完整详细的方案说明的，计(5-10]分； 不符合上述情形的，计[0-5]分；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技术响应资料</w:t>
            </w:r>
          </w:p>
        </w:tc>
      </w:tr>
      <w:tr>
        <w:tc>
          <w:tcPr>
            <w:tcW w:type="dxa" w:w="831"/>
            <w:vMerge/>
          </w:tcPr>
          <w:p/>
        </w:tc>
        <w:tc>
          <w:tcPr>
            <w:tcW w:type="dxa" w:w="1661"/>
          </w:tcPr>
          <w:p>
            <w:pPr>
              <w:pStyle w:val="null3"/>
            </w:pPr>
            <w:r>
              <w:rPr/>
              <w:t>质量保证措施</w:t>
            </w:r>
          </w:p>
        </w:tc>
        <w:tc>
          <w:tcPr>
            <w:tcW w:type="dxa" w:w="2492"/>
          </w:tcPr>
          <w:p>
            <w:pPr>
              <w:pStyle w:val="null3"/>
            </w:pPr>
            <w:r>
              <w:rPr/>
              <w:t>针对本项目的质量保证措施，要求对服务工作建立健全的质量管理制度、控制体系，保障质量管理水平。 1）措施得当、制度明确、合理、可行，满足项目要求的，计(5-10]分； 2）不符合上述情形的，计[0-5]分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技术响应资料</w:t>
            </w:r>
          </w:p>
        </w:tc>
      </w:tr>
      <w:tr>
        <w:tc>
          <w:tcPr>
            <w:tcW w:type="dxa" w:w="831"/>
            <w:vMerge/>
          </w:tcPr>
          <w:p/>
        </w:tc>
        <w:tc>
          <w:tcPr>
            <w:tcW w:type="dxa" w:w="1661"/>
          </w:tcPr>
          <w:p>
            <w:pPr>
              <w:pStyle w:val="null3"/>
            </w:pPr>
            <w:r>
              <w:rPr/>
              <w:t>信息安全管理</w:t>
            </w:r>
          </w:p>
        </w:tc>
        <w:tc>
          <w:tcPr>
            <w:tcW w:type="dxa" w:w="2492"/>
          </w:tcPr>
          <w:p>
            <w:pPr>
              <w:pStyle w:val="null3"/>
            </w:pPr>
            <w:r>
              <w:rPr/>
              <w:t>对本项目工作阶段中信息安全管理方案； 1）管理制度明确、方法得当，信息安全保障可靠，计(3-5]分； 2）不符合上述情形的，计[0-3]分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技术响应资料</w:t>
            </w:r>
          </w:p>
        </w:tc>
      </w:tr>
      <w:tr>
        <w:tc>
          <w:tcPr>
            <w:tcW w:type="dxa" w:w="831"/>
            <w:vMerge/>
          </w:tcPr>
          <w:p/>
        </w:tc>
        <w:tc>
          <w:tcPr>
            <w:tcW w:type="dxa" w:w="1661"/>
          </w:tcPr>
          <w:p>
            <w:pPr>
              <w:pStyle w:val="null3"/>
            </w:pPr>
            <w:r>
              <w:rPr/>
              <w:t>进度保证措施</w:t>
            </w:r>
          </w:p>
        </w:tc>
        <w:tc>
          <w:tcPr>
            <w:tcW w:type="dxa" w:w="2492"/>
          </w:tcPr>
          <w:p>
            <w:pPr>
              <w:pStyle w:val="null3"/>
            </w:pPr>
            <w:r>
              <w:rPr/>
              <w:t>提供对服务工作的进度保证措施。要求能够按照规定时间完成任务，制定具有可操作性的工作进度控制措施。 1)措施得当、合理、可行的，计(5-10]分； 2）不符合上述情形的，计[0-5]分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技术响应资料</w:t>
            </w:r>
          </w:p>
        </w:tc>
      </w:tr>
      <w:tr>
        <w:tc>
          <w:tcPr>
            <w:tcW w:type="dxa" w:w="831"/>
            <w:vMerge/>
          </w:tcPr>
          <w:p/>
        </w:tc>
        <w:tc>
          <w:tcPr>
            <w:tcW w:type="dxa" w:w="1661"/>
          </w:tcPr>
          <w:p>
            <w:pPr>
              <w:pStyle w:val="null3"/>
            </w:pPr>
            <w:r>
              <w:rPr/>
              <w:t>重点、难点分析</w:t>
            </w:r>
          </w:p>
        </w:tc>
        <w:tc>
          <w:tcPr>
            <w:tcW w:type="dxa" w:w="2492"/>
          </w:tcPr>
          <w:p>
            <w:pPr>
              <w:pStyle w:val="null3"/>
            </w:pPr>
            <w:r>
              <w:rPr/>
              <w:t>提供本项目审计工作中的重点和难点分析，并对项目实施过程中的重点和难点提出切实可行的解决方案。 1)重难点分析合理，有可行且有效的解决方案的,计(3-5]分; 2）不符合上述情形的，计[0-3]分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技术响应资料</w:t>
            </w:r>
          </w:p>
        </w:tc>
      </w:tr>
      <w:tr>
        <w:tc>
          <w:tcPr>
            <w:tcW w:type="dxa" w:w="831"/>
            <w:vMerge/>
          </w:tcPr>
          <w:p/>
        </w:tc>
        <w:tc>
          <w:tcPr>
            <w:tcW w:type="dxa" w:w="1661"/>
          </w:tcPr>
          <w:p>
            <w:pPr>
              <w:pStyle w:val="null3"/>
            </w:pPr>
            <w:r>
              <w:rPr/>
              <w:t>项目成果文件</w:t>
            </w:r>
          </w:p>
        </w:tc>
        <w:tc>
          <w:tcPr>
            <w:tcW w:type="dxa" w:w="2492"/>
          </w:tcPr>
          <w:p>
            <w:pPr>
              <w:pStyle w:val="null3"/>
            </w:pPr>
            <w:r>
              <w:rPr/>
              <w:t>对本项目工作阶段中成果文件的内容、形式及提交计划的说明： 1)说明内容完善，形式条理清晰， 计划有序，内容规范、合法,计(3-6]分; 2）不符合上述情形的，计[0-3]分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技术响应资料</w:t>
            </w:r>
          </w:p>
        </w:tc>
      </w:tr>
      <w:tr>
        <w:tc>
          <w:tcPr>
            <w:tcW w:type="dxa" w:w="831"/>
            <w:vMerge/>
          </w:tcPr>
          <w:p/>
        </w:tc>
        <w:tc>
          <w:tcPr>
            <w:tcW w:type="dxa" w:w="1661"/>
          </w:tcPr>
          <w:p>
            <w:pPr>
              <w:pStyle w:val="null3"/>
            </w:pPr>
            <w:r>
              <w:rPr/>
              <w:t>服务承诺</w:t>
            </w:r>
          </w:p>
        </w:tc>
        <w:tc>
          <w:tcPr>
            <w:tcW w:type="dxa" w:w="2492"/>
          </w:tcPr>
          <w:p>
            <w:pPr>
              <w:pStyle w:val="null3"/>
            </w:pPr>
            <w:r>
              <w:rPr/>
              <w:t>针对本项目及采购人实际需求提供详细具体可行服务措施及承诺： 1)服务措施及承诺全面，完善，适合项目，计(3-6]分; 2）不符合上述情形的，计[0-3]分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技术响应资料</w:t>
            </w:r>
          </w:p>
        </w:tc>
      </w:tr>
      <w:tr>
        <w:tc>
          <w:tcPr>
            <w:tcW w:type="dxa" w:w="831"/>
            <w:vMerge/>
          </w:tcPr>
          <w:p/>
        </w:tc>
        <w:tc>
          <w:tcPr>
            <w:tcW w:type="dxa" w:w="1661"/>
          </w:tcPr>
          <w:p>
            <w:pPr>
              <w:pStyle w:val="null3"/>
            </w:pPr>
            <w:r>
              <w:rPr/>
              <w:t>拟投入人员配备</w:t>
            </w:r>
          </w:p>
        </w:tc>
        <w:tc>
          <w:tcPr>
            <w:tcW w:type="dxa" w:w="2492"/>
          </w:tcPr>
          <w:p>
            <w:pPr>
              <w:pStyle w:val="null3"/>
            </w:pPr>
            <w:r>
              <w:rPr/>
              <w:t>提供针对本项目的详细人员配备情况。要求拟派项目成员相关专业人员搭配合理、职能健全，岗位分工明确、职责清晰，包括人员配备情况及水平、人员安排、专业配置、从业经历、参与工作经验等方面，均应满足本项目采购需求。 1)项目团队人员配置合理，专业性强，岗位明确的，计(5-10]分； 2）不符合上述情形的，计[0-5]分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技术响应资料</w:t>
            </w:r>
          </w:p>
        </w:tc>
      </w:tr>
      <w:tr>
        <w:tc>
          <w:tcPr>
            <w:tcW w:type="dxa" w:w="831"/>
            <w:vMerge/>
          </w:tcPr>
          <w:p/>
        </w:tc>
        <w:tc>
          <w:tcPr>
            <w:tcW w:type="dxa" w:w="1661"/>
          </w:tcPr>
          <w:p>
            <w:pPr>
              <w:pStyle w:val="null3"/>
            </w:pPr>
            <w:r>
              <w:rPr/>
              <w:t>风险能力承担水平</w:t>
            </w:r>
          </w:p>
        </w:tc>
        <w:tc>
          <w:tcPr>
            <w:tcW w:type="dxa" w:w="2492"/>
          </w:tcPr>
          <w:p>
            <w:pPr>
              <w:pStyle w:val="null3"/>
            </w:pPr>
            <w:r>
              <w:rPr/>
              <w:t>针对本项目业务风险管控，进行业务可行性分析，动态调整优化审计方案; 1)合理把控审计风险，计(3-6]分; 2）不符合上述情形的，计[0-3]分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技术响应资料</w:t>
            </w:r>
          </w:p>
        </w:tc>
      </w:tr>
      <w:tr>
        <w:tc>
          <w:tcPr>
            <w:tcW w:type="dxa" w:w="831"/>
            <w:vMerge/>
          </w:tcPr>
          <w:p/>
        </w:tc>
        <w:tc>
          <w:tcPr>
            <w:tcW w:type="dxa" w:w="1661"/>
          </w:tcPr>
          <w:p>
            <w:pPr>
              <w:pStyle w:val="null3"/>
            </w:pPr>
            <w:r>
              <w:rPr/>
              <w:t>廉洁从业承诺及廉洁措施</w:t>
            </w:r>
          </w:p>
        </w:tc>
        <w:tc>
          <w:tcPr>
            <w:tcW w:type="dxa" w:w="2492"/>
          </w:tcPr>
          <w:p>
            <w:pPr>
              <w:pStyle w:val="null3"/>
            </w:pPr>
            <w:r>
              <w:rPr/>
              <w:t>提供签署廉洁从业承诺、廉洁措施，包括但不限于项目负责人、相关技术人员的廉洁从业措施及管理办法， 1)承诺全面、措施得力，计(3-6]分; 2）不符合上述情形的，计[0-3]分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技术响应资料</w:t>
            </w:r>
          </w:p>
        </w:tc>
      </w:tr>
      <w:tr>
        <w:tc>
          <w:tcPr>
            <w:tcW w:type="dxa" w:w="831"/>
            <w:vMerge/>
          </w:tcPr>
          <w:p/>
        </w:tc>
        <w:tc>
          <w:tcPr>
            <w:tcW w:type="dxa" w:w="1661"/>
          </w:tcPr>
          <w:p>
            <w:pPr>
              <w:pStyle w:val="null3"/>
            </w:pPr>
            <w:r>
              <w:rPr/>
              <w:t>保密承诺及保密措施</w:t>
            </w:r>
          </w:p>
        </w:tc>
        <w:tc>
          <w:tcPr>
            <w:tcW w:type="dxa" w:w="2492"/>
          </w:tcPr>
          <w:p>
            <w:pPr>
              <w:pStyle w:val="null3"/>
            </w:pPr>
            <w:r>
              <w:rPr/>
              <w:t>针对本项目保密措施、并提供保密承诺书。包括但不限于项目负责人、相关技术人员， 1）承诺全面、措施得力，计(3-6]分; 2）不符合上述情形的，计[0-3]分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技术响应资料</w:t>
            </w:r>
          </w:p>
        </w:tc>
      </w:tr>
      <w:tr>
        <w:tc>
          <w:tcPr>
            <w:tcW w:type="dxa" w:w="831"/>
            <w:vMerge/>
          </w:tcPr>
          <w:p/>
        </w:tc>
        <w:tc>
          <w:tcPr>
            <w:tcW w:type="dxa" w:w="1661"/>
          </w:tcPr>
          <w:p>
            <w:pPr>
              <w:pStyle w:val="null3"/>
            </w:pPr>
            <w:r>
              <w:rPr/>
              <w:t>类似业绩</w:t>
            </w:r>
          </w:p>
        </w:tc>
        <w:tc>
          <w:tcPr>
            <w:tcW w:type="dxa" w:w="2492"/>
          </w:tcPr>
          <w:p>
            <w:pPr>
              <w:pStyle w:val="null3"/>
            </w:pPr>
            <w:r>
              <w:rPr/>
              <w:t>自2021年1月1日至今的类似项目业绩证明资料（以合同或中标/成交通知书为准，时间以合同签订时间或中标/成交通知书发出时间为准），复印件加盖公章，每提供一份计1分，满分5分。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类似项目业绩一览表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1、经初审合格的磋商响应文件，其磋商报价为有效磋商报价，对符合政策性扣减的供应商的有效磋商价格进行政策性扣减，并依据扣减后的价格（评审价格）进行价格评审。 2、满足磋商文件实质性要求且最终报价最低的供应商的价格为磋商基准价，其价格分为满分15分。 3、磋商报价得分=（磋商基准价/最终磋商报价）×15。 4、磋商报价不完整的，不进入磋商基准价的计算，本项得0分。</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磋商报价表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详见附件：磋商报价函</w:t>
      </w:r>
    </w:p>
    <w:p>
      <w:pPr>
        <w:pStyle w:val="null3"/>
        <w:ind w:firstLine="960"/>
      </w:pPr>
      <w:r>
        <w:rPr/>
        <w:t>详见附件：磋商报价表</w:t>
      </w:r>
    </w:p>
    <w:p>
      <w:pPr>
        <w:pStyle w:val="null3"/>
        <w:ind w:firstLine="960"/>
      </w:pPr>
      <w:r>
        <w:rPr/>
        <w:t>详见附件：报价明细表</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详见附件：资格证明文件</w:t>
      </w:r>
    </w:p>
    <w:p>
      <w:pPr>
        <w:pStyle w:val="null3"/>
        <w:ind w:firstLine="960"/>
      </w:pPr>
      <w:r>
        <w:rPr/>
        <w:t>详见附件：陕西省政府采购供应商拒绝政府采购领域商业贿赂承诺书</w:t>
      </w:r>
    </w:p>
    <w:p>
      <w:pPr>
        <w:pStyle w:val="null3"/>
        <w:ind w:firstLine="960"/>
      </w:pPr>
      <w:r>
        <w:rPr/>
        <w:t>详见附件：技术响应资料</w:t>
      </w:r>
    </w:p>
    <w:p>
      <w:pPr>
        <w:pStyle w:val="null3"/>
        <w:ind w:firstLine="960"/>
      </w:pPr>
      <w:r>
        <w:rPr/>
        <w:t>详见附件：类似项目业绩一览表</w:t>
      </w:r>
    </w:p>
    <w:p>
      <w:pPr>
        <w:pStyle w:val="null3"/>
        <w:ind w:firstLine="960"/>
      </w:pPr>
      <w:r>
        <w:rPr/>
        <w:t>详见附件：报价表</w:t>
      </w:r>
    </w:p>
    <w:p>
      <w:pPr>
        <w:pStyle w:val="null3"/>
        <w:ind w:firstLine="960"/>
      </w:pPr>
      <w:r>
        <w:rPr/>
        <w:t>详见附件：标的清单</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详见附件：拟签订采购合同文本.docx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