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版本号：SXXZC202500620250115001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城市管理类资产使用价值评估项目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SXXZC2025006</w:t>
      </w:r>
      <w:r>
        <w:br/>
      </w:r>
      <w:r>
        <w:br/>
      </w:r>
      <w:r>
        <w:br/>
      </w:r>
    </w:p>
    <w:p>
      <w:pPr>
        <w:pStyle w:val="null3"/>
        <w:jc w:val="center"/>
        <w:outlineLvl w:val="2"/>
      </w:pPr>
      <w:r>
        <w:rPr>
          <w:rFonts w:ascii="仿宋_GB2312" w:hAnsi="仿宋_GB2312" w:cs="仿宋_GB2312" w:eastAsia="仿宋_GB2312"/>
          <w:sz w:val="28"/>
          <w:b/>
        </w:rPr>
        <w:t>西安曲江新区事业资产管理中心</w:t>
      </w:r>
    </w:p>
    <w:p>
      <w:pPr>
        <w:pStyle w:val="null3"/>
        <w:jc w:val="center"/>
        <w:outlineLvl w:val="2"/>
      </w:pPr>
      <w:r>
        <w:rPr>
          <w:rFonts w:ascii="仿宋_GB2312" w:hAnsi="仿宋_GB2312" w:cs="仿宋_GB2312" w:eastAsia="仿宋_GB2312"/>
          <w:sz w:val="28"/>
          <w:b/>
        </w:rPr>
        <w:t>陕西信智诚项目管理有限公司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陕西信智诚项目管理有限公司</w:t>
      </w:r>
      <w:r>
        <w:rPr>
          <w:rFonts w:ascii="仿宋_GB2312" w:hAnsi="仿宋_GB2312" w:cs="仿宋_GB2312" w:eastAsia="仿宋_GB2312"/>
        </w:rPr>
        <w:t>（以下简称“代理机构”）受</w:t>
      </w:r>
      <w:r>
        <w:rPr>
          <w:rFonts w:ascii="仿宋_GB2312" w:hAnsi="仿宋_GB2312" w:cs="仿宋_GB2312" w:eastAsia="仿宋_GB2312"/>
        </w:rPr>
        <w:t>西安曲江新区事业资产管理中心</w:t>
      </w:r>
      <w:r>
        <w:rPr>
          <w:rFonts w:ascii="仿宋_GB2312" w:hAnsi="仿宋_GB2312" w:cs="仿宋_GB2312" w:eastAsia="仿宋_GB2312"/>
        </w:rPr>
        <w:t>委托，拟对</w:t>
      </w:r>
      <w:r>
        <w:rPr>
          <w:rFonts w:ascii="仿宋_GB2312" w:hAnsi="仿宋_GB2312" w:cs="仿宋_GB2312" w:eastAsia="仿宋_GB2312"/>
        </w:rPr>
        <w:t>城市管理类资产使用价值评估项目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SXXZC2025006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城市管理类资产使用价值评估项目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西安曲江新区事业资产管理中心城市管理类资产使用价值评估项目，具体内容详见第三章。</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3、资质要求：供应商需具备财政主管部门出具的有效资产评估机构备案证明。</w:t>
      </w:r>
    </w:p>
    <w:p>
      <w:pPr>
        <w:pStyle w:val="null3"/>
      </w:pPr>
      <w:r>
        <w:rPr>
          <w:rFonts w:ascii="仿宋_GB2312" w:hAnsi="仿宋_GB2312" w:cs="仿宋_GB2312" w:eastAsia="仿宋_GB2312"/>
        </w:rPr>
        <w:t>4、项目负责人：项目负责人具有资产评估师职业资格证书。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西安曲江新区事业资产管理中心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西安市雁塔区杜陵邑南路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西安曲江新区事业资产管理中心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029-68660070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陕西信智诚项目管理有限公司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西安市经济技术开发区凤城四路90号海璟新天地写字楼2006室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王正梅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17791415127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代理服务费收费标准：1.招标代理服务费的收取参照国家计委颁布的《招标代理服务收费管理暂行办法》（计价格[2002]1980号）和（发改办价格[2003]857号）货物收费标准计取。 2. 成交单位在领取成交通知书前，须向采购代理机构一次性支付招标代理服务费。 3.成交单位的代理服务费交纳信息： 开户名称：陕西信智诚项目管理有限公司 开户银行：兴业银行股份有限公司西安经济开发区支行 银行账号：456870100100379282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西安曲江新区事业资产管理中心</w:t>
      </w:r>
      <w:r>
        <w:rPr>
          <w:rFonts w:ascii="仿宋_GB2312" w:hAnsi="仿宋_GB2312" w:cs="仿宋_GB2312" w:eastAsia="仿宋_GB2312"/>
        </w:rPr>
        <w:t>和</w:t>
      </w:r>
      <w:r>
        <w:rPr>
          <w:rFonts w:ascii="仿宋_GB2312" w:hAnsi="仿宋_GB2312" w:cs="仿宋_GB2312" w:eastAsia="仿宋_GB2312"/>
        </w:rPr>
        <w:t>陕西信智诚项目管理有限公司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西安曲江新区事业资产管理中心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陕西信智诚项目管理有限公司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西安曲江新区事业资产管理中心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陕西信智诚项目管理有限公司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陕西信智诚项目管理有限公司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联系人：王正梅</w:t>
      </w:r>
    </w:p>
    <w:p>
      <w:pPr>
        <w:pStyle w:val="null3"/>
      </w:pPr>
      <w:r>
        <w:rPr>
          <w:rFonts w:ascii="仿宋_GB2312" w:hAnsi="仿宋_GB2312" w:cs="仿宋_GB2312" w:eastAsia="仿宋_GB2312"/>
        </w:rPr>
        <w:t>联系电话：17791415127</w:t>
      </w:r>
    </w:p>
    <w:p>
      <w:pPr>
        <w:pStyle w:val="null3"/>
      </w:pPr>
      <w:r>
        <w:rPr>
          <w:rFonts w:ascii="仿宋_GB2312" w:hAnsi="仿宋_GB2312" w:cs="仿宋_GB2312" w:eastAsia="仿宋_GB2312"/>
        </w:rPr>
        <w:t>地址：西安市经济技术开发区凤城四路90号海璟新天地写字楼2006室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西安曲江新区事业资产管理中心城市管理类资产使用价值评估项目，具体内容详见第三章。</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城市管理类资产使用价值评估政府采购项目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标的名称：城市管理类资产使用价值评估政府采购项目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left"/>
            </w:pPr>
            <w:r>
              <w:rPr>
                <w:rFonts w:ascii="仿宋_GB2312" w:hAnsi="仿宋_GB2312" w:cs="仿宋_GB2312" w:eastAsia="仿宋_GB2312"/>
                <w:sz w:val="21"/>
                <w:b/>
                <w:color w:val="000000"/>
              </w:rPr>
              <w:t>一、项目概况</w:t>
            </w:r>
          </w:p>
          <w:p>
            <w:pPr>
              <w:pStyle w:val="null3"/>
              <w:ind w:firstLine="420"/>
              <w:jc w:val="both"/>
            </w:pPr>
            <w:r>
              <w:rPr>
                <w:rFonts w:ascii="仿宋_GB2312" w:hAnsi="仿宋_GB2312" w:cs="仿宋_GB2312" w:eastAsia="仿宋_GB2312"/>
                <w:sz w:val="21"/>
                <w:color w:val="000000"/>
              </w:rPr>
              <w:t>西安曲江新区事业资产管理中心城市管理类资产使用价值评估项目</w:t>
            </w:r>
          </w:p>
          <w:p>
            <w:pPr>
              <w:pStyle w:val="null3"/>
              <w:jc w:val="left"/>
            </w:pPr>
            <w:r>
              <w:rPr>
                <w:rFonts w:ascii="仿宋_GB2312" w:hAnsi="仿宋_GB2312" w:cs="仿宋_GB2312" w:eastAsia="仿宋_GB2312"/>
                <w:sz w:val="21"/>
                <w:b/>
                <w:color w:val="000000"/>
              </w:rPr>
              <w:t>二、服务内容</w:t>
            </w:r>
            <w:r>
              <w:rPr>
                <w:rFonts w:ascii="仿宋_GB2312" w:hAnsi="仿宋_GB2312" w:cs="仿宋_GB2312" w:eastAsia="仿宋_GB2312"/>
                <w:sz w:val="21"/>
                <w:b/>
                <w:color w:val="000000"/>
              </w:rPr>
              <w:t>及要求</w:t>
            </w:r>
          </w:p>
          <w:p>
            <w:pPr>
              <w:pStyle w:val="null3"/>
              <w:ind w:firstLine="420"/>
              <w:jc w:val="both"/>
            </w:pPr>
            <w:r>
              <w:rPr>
                <w:rFonts w:ascii="仿宋_GB2312" w:hAnsi="仿宋_GB2312" w:cs="仿宋_GB2312" w:eastAsia="仿宋_GB2312"/>
                <w:sz w:val="21"/>
                <w:color w:val="000000"/>
              </w:rPr>
              <w:t>符合《西安市市级行政事业单位国有资产有偿使用管理办法》（市财发〔</w:t>
            </w:r>
            <w:r>
              <w:rPr>
                <w:rFonts w:ascii="仿宋_GB2312" w:hAnsi="仿宋_GB2312" w:cs="仿宋_GB2312" w:eastAsia="仿宋_GB2312"/>
                <w:sz w:val="21"/>
                <w:color w:val="000000"/>
              </w:rPr>
              <w:t>2024〕44号）、《西安市行政事业性国有资产管理办法》（市财发〔2023〕79号）、《关于进一步加强国有经营性资产管理的通知》（西曲江发〔2024〕17号）等文件要求，通过专业的评估，确定资产的真实价值，为后续资产处置和利用提供科学依据，进一步加强我区资产管理，提高国有资产使用效益，实现国有资产保值增值。目前曲江新区城市管理类需评估的资产有：曲江微型书店4座（面积1179㎡ ）、商铺61个（面积3.3万㎡ ）、可再生资源回收利用转运中心（日处理垃圾量450吨）、体育场地42个（面积约3.9万㎡ ）、停车场 19处（车位3181个）、公共场地8个（面积约2.6万㎡）、花灯花箱等报废资产（账面原值约111681402.97元）。</w:t>
            </w:r>
          </w:p>
          <w:p>
            <w:pPr>
              <w:pStyle w:val="null3"/>
              <w:jc w:val="left"/>
            </w:pPr>
            <w:r>
              <w:rPr>
                <w:rFonts w:ascii="仿宋_GB2312" w:hAnsi="仿宋_GB2312" w:cs="仿宋_GB2312" w:eastAsia="仿宋_GB2312"/>
                <w:sz w:val="21"/>
                <w:b/>
                <w:color w:val="000000"/>
              </w:rPr>
              <w:t>三、服务要求</w:t>
            </w:r>
          </w:p>
          <w:p>
            <w:pPr>
              <w:pStyle w:val="null3"/>
              <w:jc w:val="left"/>
            </w:pPr>
            <w:r>
              <w:rPr>
                <w:rFonts w:ascii="仿宋_GB2312" w:hAnsi="仿宋_GB2312" w:cs="仿宋_GB2312" w:eastAsia="仿宋_GB2312"/>
                <w:sz w:val="21"/>
                <w:color w:val="000000"/>
              </w:rPr>
              <w:t>1、时间要求</w:t>
            </w:r>
          </w:p>
          <w:p>
            <w:pPr>
              <w:pStyle w:val="null3"/>
              <w:jc w:val="left"/>
            </w:pPr>
            <w:r>
              <w:rPr>
                <w:rFonts w:ascii="仿宋_GB2312" w:hAnsi="仿宋_GB2312" w:cs="仿宋_GB2312" w:eastAsia="仿宋_GB2312"/>
                <w:sz w:val="21"/>
                <w:color w:val="000000"/>
              </w:rPr>
              <w:t>供应商必须在规定时间内完成价格评估等相关服务并提交最终工作成果、及评估相关的评估报告。</w:t>
            </w:r>
          </w:p>
          <w:p>
            <w:pPr>
              <w:pStyle w:val="null3"/>
              <w:jc w:val="left"/>
            </w:pPr>
            <w:r>
              <w:rPr>
                <w:rFonts w:ascii="仿宋_GB2312" w:hAnsi="仿宋_GB2312" w:cs="仿宋_GB2312" w:eastAsia="仿宋_GB2312"/>
                <w:sz w:val="21"/>
                <w:color w:val="000000"/>
              </w:rPr>
              <w:t>2、评估标准：包含但不限于下列内容：</w:t>
            </w:r>
          </w:p>
          <w:p>
            <w:pPr>
              <w:pStyle w:val="null3"/>
              <w:jc w:val="left"/>
            </w:pPr>
            <w:r>
              <w:rPr>
                <w:rFonts w:ascii="仿宋_GB2312" w:hAnsi="仿宋_GB2312" w:cs="仿宋_GB2312" w:eastAsia="仿宋_GB2312"/>
                <w:sz w:val="21"/>
                <w:color w:val="000000"/>
              </w:rPr>
              <w:t>（一）《中华人民共和国资产评估法》</w:t>
            </w:r>
          </w:p>
          <w:p>
            <w:pPr>
              <w:pStyle w:val="null3"/>
              <w:jc w:val="left"/>
            </w:pPr>
            <w:r>
              <w:rPr>
                <w:rFonts w:ascii="仿宋_GB2312" w:hAnsi="仿宋_GB2312" w:cs="仿宋_GB2312" w:eastAsia="仿宋_GB2312"/>
                <w:sz w:val="21"/>
                <w:color w:val="000000"/>
              </w:rPr>
              <w:t>（二）《中华人民共和国城乡规划法》</w:t>
            </w:r>
          </w:p>
          <w:p>
            <w:pPr>
              <w:pStyle w:val="null3"/>
              <w:jc w:val="left"/>
            </w:pPr>
            <w:r>
              <w:rPr>
                <w:rFonts w:ascii="仿宋_GB2312" w:hAnsi="仿宋_GB2312" w:cs="仿宋_GB2312" w:eastAsia="仿宋_GB2312"/>
                <w:sz w:val="21"/>
                <w:color w:val="000000"/>
              </w:rPr>
              <w:t>（三）中华人民共和国国家标准</w:t>
            </w:r>
            <w:r>
              <w:rPr>
                <w:rFonts w:ascii="仿宋_GB2312" w:hAnsi="仿宋_GB2312" w:cs="仿宋_GB2312" w:eastAsia="仿宋_GB2312"/>
                <w:sz w:val="21"/>
                <w:color w:val="000000"/>
              </w:rPr>
              <w:t>GB/T50291-2015《房地产估价规范》</w:t>
            </w:r>
          </w:p>
          <w:p>
            <w:pPr>
              <w:pStyle w:val="null3"/>
              <w:jc w:val="left"/>
            </w:pPr>
            <w:r>
              <w:rPr>
                <w:rFonts w:ascii="仿宋_GB2312" w:hAnsi="仿宋_GB2312" w:cs="仿宋_GB2312" w:eastAsia="仿宋_GB2312"/>
                <w:sz w:val="21"/>
                <w:color w:val="000000"/>
              </w:rPr>
              <w:t>（四）《中华人民共和国土地管理法》</w:t>
            </w:r>
          </w:p>
          <w:p>
            <w:pPr>
              <w:pStyle w:val="null3"/>
              <w:jc w:val="left"/>
            </w:pPr>
            <w:r>
              <w:rPr>
                <w:rFonts w:ascii="仿宋_GB2312" w:hAnsi="仿宋_GB2312" w:cs="仿宋_GB2312" w:eastAsia="仿宋_GB2312"/>
                <w:sz w:val="21"/>
                <w:color w:val="000000"/>
              </w:rPr>
              <w:t>（五）估价人员市场调研资料</w:t>
            </w:r>
          </w:p>
          <w:p>
            <w:pPr>
              <w:pStyle w:val="null3"/>
              <w:jc w:val="left"/>
            </w:pPr>
            <w:r>
              <w:rPr>
                <w:rFonts w:ascii="仿宋_GB2312" w:hAnsi="仿宋_GB2312" w:cs="仿宋_GB2312" w:eastAsia="仿宋_GB2312"/>
                <w:sz w:val="21"/>
                <w:color w:val="000000"/>
              </w:rPr>
              <w:t>（六）政府关于拆迁补偿的相关文件</w:t>
            </w:r>
          </w:p>
          <w:p>
            <w:pPr>
              <w:pStyle w:val="null3"/>
              <w:jc w:val="left"/>
            </w:pPr>
            <w:r>
              <w:rPr>
                <w:rFonts w:ascii="仿宋_GB2312" w:hAnsi="仿宋_GB2312" w:cs="仿宋_GB2312" w:eastAsia="仿宋_GB2312"/>
                <w:sz w:val="21"/>
                <w:color w:val="000000"/>
              </w:rPr>
              <w:t>（七）采购人提供的相关资料</w:t>
            </w:r>
          </w:p>
          <w:p>
            <w:pPr>
              <w:pStyle w:val="null3"/>
              <w:jc w:val="left"/>
            </w:pPr>
            <w:r>
              <w:rPr>
                <w:rFonts w:ascii="仿宋_GB2312" w:hAnsi="仿宋_GB2312" w:cs="仿宋_GB2312" w:eastAsia="仿宋_GB2312"/>
                <w:sz w:val="21"/>
                <w:color w:val="000000"/>
              </w:rPr>
              <w:t>以上规范、标准如遇调整或最新规范时，以调整后或最新规范内容为准。</w:t>
            </w:r>
          </w:p>
          <w:p>
            <w:pPr>
              <w:pStyle w:val="null3"/>
              <w:jc w:val="left"/>
            </w:pPr>
            <w:r>
              <w:rPr>
                <w:rFonts w:ascii="仿宋_GB2312" w:hAnsi="仿宋_GB2312" w:cs="仿宋_GB2312" w:eastAsia="仿宋_GB2312"/>
                <w:sz w:val="21"/>
                <w:color w:val="000000"/>
              </w:rPr>
              <w:t>3、内容及程序要求</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1）制定评估计划；</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2）指导被评估单位进行资产清查；</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3）现场勘查与核实；</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4）收集分析询价资料；</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5）评定估算；</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6）出具评估报告；</w:t>
            </w:r>
          </w:p>
          <w:p>
            <w:pPr>
              <w:pStyle w:val="null3"/>
              <w:jc w:val="left"/>
            </w:pPr>
            <w:r>
              <w:rPr>
                <w:rFonts w:ascii="仿宋_GB2312" w:hAnsi="仿宋_GB2312" w:cs="仿宋_GB2312" w:eastAsia="仿宋_GB2312"/>
                <w:sz w:val="21"/>
                <w:color w:val="000000"/>
              </w:rPr>
              <w:t>（</w:t>
            </w:r>
            <w:r>
              <w:rPr>
                <w:rFonts w:ascii="仿宋_GB2312" w:hAnsi="仿宋_GB2312" w:cs="仿宋_GB2312" w:eastAsia="仿宋_GB2312"/>
                <w:sz w:val="21"/>
                <w:color w:val="000000"/>
              </w:rPr>
              <w:t>7）提供后续服务支持。</w:t>
            </w:r>
          </w:p>
          <w:p>
            <w:pPr>
              <w:pStyle w:val="null3"/>
              <w:jc w:val="left"/>
            </w:pPr>
            <w:r>
              <w:rPr>
                <w:rFonts w:ascii="仿宋_GB2312" w:hAnsi="仿宋_GB2312" w:cs="仿宋_GB2312" w:eastAsia="仿宋_GB2312"/>
                <w:sz w:val="21"/>
                <w:color w:val="000000"/>
              </w:rPr>
              <w:t>4、评估原则</w:t>
            </w:r>
          </w:p>
          <w:p>
            <w:pPr>
              <w:pStyle w:val="null3"/>
              <w:jc w:val="both"/>
            </w:pPr>
            <w:r>
              <w:rPr>
                <w:rFonts w:ascii="仿宋_GB2312" w:hAnsi="仿宋_GB2312" w:cs="仿宋_GB2312" w:eastAsia="仿宋_GB2312"/>
                <w:sz w:val="21"/>
                <w:color w:val="000000"/>
              </w:rPr>
              <w:t>评估工作须坚持</w:t>
            </w:r>
            <w:r>
              <w:rPr>
                <w:rFonts w:ascii="仿宋_GB2312" w:hAnsi="仿宋_GB2312" w:cs="仿宋_GB2312" w:eastAsia="仿宋_GB2312"/>
                <w:sz w:val="21"/>
                <w:color w:val="000000"/>
              </w:rPr>
              <w:t>“分类评估”“不重不漏”“足额补偿”等原则。</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供应商根据服务需求和竞争性磋商文件要求自行响应。</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供应商根据服务需求和竞争性磋商文件要求自行响应。</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自合同签订之日起两年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合同签订后，甲方向乙方支付评估服务费的30%；乙方向甲方提供资产评估初步结果时，甲方向乙方支付评估服务费的50%；乙方向甲方出具正式资产评估报告时，甲方向乙方支付评估服务费余额。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具有独立承担民事责任的能力且具备向采购人提供相关服务的企业法人、事业法人、其他组织或者自然人，企业法人应提供统一社会信用代码的营业执照；事业法人应提供统一社会信用代码证书；其他组织应提供合法证明文件；自然人提供身份证明文件； 2.提供2023年度经审计的财务报告（包括“四表一注”即资产负债表、利润表、现金流量表、所有者权益变动表及其附注）或其磋商前三个月内基本存款账户开户银行出具的资信证明及基本存款账户开户许可证（基本账户信息）； 3.供应商提供磋商截止日前一年内已缴纳的至少一个月的纳税证明或完税证明，依法免税的单位应提供相关证明材料； 4.供应商提供磋商截止日前一年内已缴存的至少一个月的社会保障资金缴存单据或社保机构开具的社会保险参保缴费情况证明，依法不需要缴纳社会保障资金的单位应提供相关证明材料； 5.提供具有履行本项目合同所必需的设备和专业能力的承诺； 6.出具参加政府采购活动前3年内，在经营活动中没有重大违法纪录的书面声明。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包括“四表一注”即资产负债表、利润表、现金流量表、所有者权益变动表及其附注）或其磋商前三个月内基本存款账户开户银行出具的资信证明及基本存款账户开户许可证（基本账户信息）。</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资格证明文件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供应商需具备财政主管部门出具的有效资产评估机构备案证明。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项目负责人具有资产评估师职业资格证书。</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资格证明文件 商务应答表 服务内容及服务要求应答表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资格证明文件 服务内容及服务邀请应答表 中小企业声明函 残疾人福利性单位声明函 磋商响应单位承诺书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内容完整合理，针对性强，符合采购要求的得(15-20]分；服务方案内容较完整合理，针对性较强，较为符合采购要求的得(10-15]分；服务方案内容基本完整合理，针对性一般，基本满足采购要求的得(0-10]分；未提供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项目进度保证措施</w:t>
            </w:r>
          </w:p>
        </w:tc>
        <w:tc>
          <w:tcPr>
            <w:tcW w:type="dxa" w:w="2492"/>
          </w:tcPr>
          <w:p>
            <w:pPr>
              <w:pStyle w:val="null3"/>
            </w:pPr>
            <w:r>
              <w:rPr>
                <w:rFonts w:ascii="仿宋_GB2312" w:hAnsi="仿宋_GB2312" w:cs="仿宋_GB2312" w:eastAsia="仿宋_GB2312"/>
              </w:rPr>
              <w:t>进度计划及服务期保障计划安排措施工作内容总体思路清晰、合理、可行性强得(10-15]分；总体思路较清晰、合理、可行性较强得(5-10]分；总体思路基本清晰、可行性一般得(0-5]分。未提供不得分。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项目团队配备</w:t>
            </w:r>
          </w:p>
        </w:tc>
        <w:tc>
          <w:tcPr>
            <w:tcW w:type="dxa" w:w="2492"/>
          </w:tcPr>
          <w:p>
            <w:pPr>
              <w:pStyle w:val="null3"/>
            </w:pPr>
            <w:r>
              <w:rPr>
                <w:rFonts w:ascii="仿宋_GB2312" w:hAnsi="仿宋_GB2312" w:cs="仿宋_GB2312" w:eastAsia="仿宋_GB2312"/>
              </w:rPr>
              <w:t>拟投入项目团队人员配备分工明确、配置合理，经验丰富，专业性强，满足采购要求得（7-10]分；人员配备分工较明确、配置较合理、经验较丰富的，基本满足采购要求得(3-7]分；分工不够明确、配置一般、经验一般的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制度建设</w:t>
            </w:r>
          </w:p>
        </w:tc>
        <w:tc>
          <w:tcPr>
            <w:tcW w:type="dxa" w:w="2492"/>
          </w:tcPr>
          <w:p>
            <w:pPr>
              <w:pStyle w:val="null3"/>
            </w:pPr>
            <w:r>
              <w:rPr>
                <w:rFonts w:ascii="仿宋_GB2312" w:hAnsi="仿宋_GB2312" w:cs="仿宋_GB2312" w:eastAsia="仿宋_GB2312"/>
              </w:rPr>
              <w:t>提供针对本项目拟定的工作职能组织运行图等。 管理责任清晰，日常管理制度完善、程序规范得(3-5]分；管理责任较清晰，日常管理制度一般、程序较规范得(0-3]分；未提供不得分。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提供针对本项目的质量保证措施 各项质量保障、保证措施完善、分工明确得(7-10]分；保障、保证措施较完善、分工安排较合理得(3-7]分；保障、保证措施一般、分工安排基本合理得(0-3]分；未提供不得分。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针对本项目有详细的服务承诺，在合同履行过程中为采购人提供的服务质量及对后期的技术指导等方面作出书面承诺。根据服务承诺明确、合理程度得(3-5]分；服务承诺较明确、基本合理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资料管理</w:t>
            </w:r>
          </w:p>
        </w:tc>
        <w:tc>
          <w:tcPr>
            <w:tcW w:type="dxa" w:w="2492"/>
          </w:tcPr>
          <w:p>
            <w:pPr>
              <w:pStyle w:val="null3"/>
            </w:pPr>
            <w:r>
              <w:rPr>
                <w:rFonts w:ascii="仿宋_GB2312" w:hAnsi="仿宋_GB2312" w:cs="仿宋_GB2312" w:eastAsia="仿宋_GB2312"/>
              </w:rPr>
              <w:t>项目运行过程中的所有资料的管理，工作专业、严密、合理、可行，全面确保数据及相关信息不泄密，方案全面可行性强得(3-5]分；所有资料的管理，工作较专业、严密、合理，基本全面，方案全面基本可行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供应商提供保密措施，应承诺不得泄漏采购单位一切敏感信息，包括但不限于技术资料、商业秘密和商业信息等，保密措施完整详尽，可行性强得（0-5]分；未提供不得分。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近3年（2022年1月1日至今）供应商具有类型项目业绩，每提供一个类似业绩得2分，最高得10分。 注：须提供合同扫描件（须体现合同服务内容、签订日期、双方签字盖章页）。</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有利于本项目工作顺利进行的合理化建议详细合理，针对性强得(2-5]分；较详细得(0-2]分；未提供不得分。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经资格审查、符合性审查合格的磋商响应文件，其磋商报价为有效磋商报价。满足磋商文件要求且磋商价格最低的磋商报价为评标基准价，其价格分为满分。价格分按照下列公式计算。 报价总得分=（评标基准价/磋商总报价）×10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详见附件：类似项目业绩</w:t>
      </w:r>
    </w:p>
    <w:p>
      <w:pPr>
        <w:pStyle w:val="null3"/>
        <w:ind w:firstLine="960"/>
      </w:pPr>
      <w:r>
        <w:rPr>
          <w:rFonts w:ascii="仿宋_GB2312" w:hAnsi="仿宋_GB2312" w:cs="仿宋_GB2312" w:eastAsia="仿宋_GB2312"/>
        </w:rPr>
        <w:t>详见附件：服务内容及服务要求应答表</w:t>
      </w:r>
    </w:p>
    <w:p>
      <w:pPr>
        <w:pStyle w:val="null3"/>
        <w:ind w:firstLine="960"/>
      </w:pPr>
      <w:r>
        <w:rPr>
          <w:rFonts w:ascii="仿宋_GB2312" w:hAnsi="仿宋_GB2312" w:cs="仿宋_GB2312" w:eastAsia="仿宋_GB2312"/>
        </w:rPr>
        <w:t>详见附件：磋商响应方案说明</w:t>
      </w:r>
    </w:p>
    <w:p>
      <w:pPr>
        <w:pStyle w:val="null3"/>
        <w:ind w:firstLine="960"/>
      </w:pPr>
      <w:r>
        <w:rPr>
          <w:rFonts w:ascii="仿宋_GB2312" w:hAnsi="仿宋_GB2312" w:cs="仿宋_GB2312" w:eastAsia="仿宋_GB2312"/>
        </w:rPr>
        <w:t>详见附件：磋商响应单位承诺书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