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版本号：ZCZX2025-CS-198（S）20251015001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曲江市政数据中心工作人员物业服务(二次)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ZCZX2025-CS-198（S）</w:t>
      </w:r>
      <w:r>
        <w:br/>
      </w:r>
      <w:r>
        <w:br/>
      </w:r>
      <w:r>
        <w:br/>
      </w:r>
    </w:p>
    <w:p>
      <w:pPr>
        <w:pStyle w:val="null3"/>
        <w:jc w:val="center"/>
        <w:outlineLvl w:val="2"/>
      </w:pPr>
      <w:r>
        <w:rPr>
          <w:rFonts w:ascii="仿宋_GB2312" w:hAnsi="仿宋_GB2312" w:cs="仿宋_GB2312" w:eastAsia="仿宋_GB2312"/>
          <w:sz w:val="28"/>
          <w:b/>
        </w:rPr>
        <w:t>西安曲江新区管理委员会</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西安曲江新区管理委员会</w:t>
      </w:r>
      <w:r>
        <w:rPr>
          <w:rFonts w:ascii="仿宋_GB2312" w:hAnsi="仿宋_GB2312" w:cs="仿宋_GB2312" w:eastAsia="仿宋_GB2312"/>
        </w:rPr>
        <w:t>委托，拟对</w:t>
      </w:r>
      <w:r>
        <w:rPr>
          <w:rFonts w:ascii="仿宋_GB2312" w:hAnsi="仿宋_GB2312" w:cs="仿宋_GB2312" w:eastAsia="仿宋_GB2312"/>
        </w:rPr>
        <w:t>曲江市政数据中心工作人员物业服务(二次)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ZCZX2025-CS-198（S）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曲江市政数据中心工作人员物业服务(二次)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曲江市政数据中心工作人员物业服务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采购包1（曲江市政数据中心工作人员物业服务）：属于专门面向中小企业采购。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书及被授权人证明：供应商应授权合法的人员参加磋商全过程，法定代表人（或负责人）委托代理人参加磋商时，应提供法定代表人委托授权书及被授权人的参保缴费证明（须赋可查询的验证编号或验证二维码）和劳动合同；法定代表人（或负责人）亲自参加磋商时，应提供法定代表人（或负责人）身份证，并与营业执照上信息一致</w:t>
      </w:r>
    </w:p>
    <w:p>
      <w:pPr>
        <w:pStyle w:val="null3"/>
      </w:pPr>
      <w:r>
        <w:rPr>
          <w:rFonts w:ascii="仿宋_GB2312" w:hAnsi="仿宋_GB2312" w:cs="仿宋_GB2312" w:eastAsia="仿宋_GB2312"/>
        </w:rPr>
        <w:t>2、资质：供应商具有有效的《食品经营许可证》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西安曲江新区管理委员会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杜陵邑南路6号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029-68660318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西安曲江新区翠华南路1688号创意盒子1304室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高蕊玲 吴芳超 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029-89565998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西安曲江新区政府采购管理股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029-68660321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向中标（成交）供应商收取代理服务费。 成交单位的代理服务费交纳信息 银行户名：陕西众诚致信管理咨询有限公司 开户银行：北京银行股份有限公司西安分行营业部 账 号：20000042729000032633420 联系人：范道宏 联系电话：029-89565528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西安曲江新区管理委员会</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西安曲江新区管理委员会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西安曲江新区管理委员会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联系人：吴芳超</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曲江市政数据中心工作人员物业服务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2,200,000.00</w:t>
      </w:r>
    </w:p>
    <w:p>
      <w:pPr>
        <w:pStyle w:val="null3"/>
      </w:pPr>
      <w:r>
        <w:rPr>
          <w:rFonts w:ascii="仿宋_GB2312" w:hAnsi="仿宋_GB2312" w:cs="仿宋_GB2312" w:eastAsia="仿宋_GB2312"/>
        </w:rPr>
        <w:t>采购包最高限价（元）: 2,200,000.00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物业服务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物业管理</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标的名称：物业服务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pPr>
            <w:r>
              <w:rPr>
                <w:rFonts w:ascii="仿宋_GB2312" w:hAnsi="仿宋_GB2312" w:cs="仿宋_GB2312" w:eastAsia="仿宋_GB2312"/>
                <w:b/>
              </w:rPr>
              <w:t>一、项目概况</w:t>
            </w:r>
          </w:p>
          <w:p>
            <w:pPr>
              <w:pStyle w:val="null3"/>
              <w:ind w:firstLine="400"/>
            </w:pPr>
            <w:r>
              <w:rPr>
                <w:rFonts w:ascii="仿宋_GB2312" w:hAnsi="仿宋_GB2312" w:cs="仿宋_GB2312" w:eastAsia="仿宋_GB2312"/>
              </w:rPr>
              <w:t>负责曲江新区城市管理和综合执法局数据中心办公、住宿等区域正常的环境秩序，所有相关设施设备、安全协防和餐饮的管理及服务。</w:t>
            </w:r>
          </w:p>
          <w:p>
            <w:pPr>
              <w:pStyle w:val="null3"/>
              <w:ind w:firstLine="402"/>
            </w:pPr>
            <w:r>
              <w:rPr>
                <w:rFonts w:ascii="仿宋_GB2312" w:hAnsi="仿宋_GB2312" w:cs="仿宋_GB2312" w:eastAsia="仿宋_GB2312"/>
                <w:b/>
              </w:rPr>
              <w:t>二、服务范围</w:t>
            </w:r>
          </w:p>
          <w:p>
            <w:pPr>
              <w:pStyle w:val="null3"/>
              <w:ind w:firstLine="400"/>
            </w:pPr>
            <w:r>
              <w:rPr>
                <w:rFonts w:ascii="仿宋_GB2312" w:hAnsi="仿宋_GB2312" w:cs="仿宋_GB2312" w:eastAsia="仿宋_GB2312"/>
              </w:rPr>
              <w:t>(</w:t>
            </w:r>
            <w:r>
              <w:rPr>
                <w:rFonts w:ascii="仿宋_GB2312" w:hAnsi="仿宋_GB2312" w:cs="仿宋_GB2312" w:eastAsia="仿宋_GB2312"/>
              </w:rPr>
              <w:t>一</w:t>
            </w:r>
            <w:r>
              <w:rPr>
                <w:rFonts w:ascii="仿宋_GB2312" w:hAnsi="仿宋_GB2312" w:cs="仿宋_GB2312" w:eastAsia="仿宋_GB2312"/>
              </w:rPr>
              <w:t>)</w:t>
            </w:r>
            <w:r>
              <w:rPr>
                <w:rFonts w:ascii="仿宋_GB2312" w:hAnsi="仿宋_GB2312" w:cs="仿宋_GB2312" w:eastAsia="仿宋_GB2312"/>
              </w:rPr>
              <w:t>物业基本情况</w:t>
            </w:r>
          </w:p>
          <w:p>
            <w:pPr>
              <w:pStyle w:val="null3"/>
              <w:ind w:firstLine="400"/>
            </w:pPr>
            <w:r>
              <w:rPr>
                <w:rFonts w:ascii="仿宋_GB2312" w:hAnsi="仿宋_GB2312" w:cs="仿宋_GB2312" w:eastAsia="仿宋_GB2312"/>
              </w:rPr>
              <w:t>西安市雁塔区红锦路与花朝路十字数据中心房屋实用面积共计为</w:t>
            </w:r>
            <w:r>
              <w:rPr>
                <w:rFonts w:ascii="仿宋_GB2312" w:hAnsi="仿宋_GB2312" w:cs="仿宋_GB2312" w:eastAsia="仿宋_GB2312"/>
              </w:rPr>
              <w:t>11313</w:t>
            </w: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至</w:t>
            </w:r>
            <w:r>
              <w:rPr>
                <w:rFonts w:ascii="仿宋_GB2312" w:hAnsi="仿宋_GB2312" w:cs="仿宋_GB2312" w:eastAsia="仿宋_GB2312"/>
              </w:rPr>
              <w:t>4</w:t>
            </w:r>
            <w:r>
              <w:rPr>
                <w:rFonts w:ascii="仿宋_GB2312" w:hAnsi="仿宋_GB2312" w:cs="仿宋_GB2312" w:eastAsia="仿宋_GB2312"/>
              </w:rPr>
              <w:t>层实用面积为</w:t>
            </w:r>
            <w:r>
              <w:rPr>
                <w:rFonts w:ascii="仿宋_GB2312" w:hAnsi="仿宋_GB2312" w:cs="仿宋_GB2312" w:eastAsia="仿宋_GB2312"/>
              </w:rPr>
              <w:t>5990.8</w:t>
            </w:r>
            <w:r>
              <w:rPr>
                <w:rFonts w:ascii="仿宋_GB2312" w:hAnsi="仿宋_GB2312" w:cs="仿宋_GB2312" w:eastAsia="仿宋_GB2312"/>
              </w:rPr>
              <w:t>㎡，</w:t>
            </w:r>
            <w:r>
              <w:rPr>
                <w:rFonts w:ascii="仿宋_GB2312" w:hAnsi="仿宋_GB2312" w:cs="仿宋_GB2312" w:eastAsia="仿宋_GB2312"/>
              </w:rPr>
              <w:t>6-12</w:t>
            </w:r>
            <w:r>
              <w:rPr>
                <w:rFonts w:ascii="仿宋_GB2312" w:hAnsi="仿宋_GB2312" w:cs="仿宋_GB2312" w:eastAsia="仿宋_GB2312"/>
              </w:rPr>
              <w:t>层公共区域为</w:t>
            </w:r>
            <w:r>
              <w:rPr>
                <w:rFonts w:ascii="仿宋_GB2312" w:hAnsi="仿宋_GB2312" w:cs="仿宋_GB2312" w:eastAsia="仿宋_GB2312"/>
              </w:rPr>
              <w:t>3597.2</w:t>
            </w:r>
            <w:r>
              <w:rPr>
                <w:rFonts w:ascii="仿宋_GB2312" w:hAnsi="仿宋_GB2312" w:cs="仿宋_GB2312" w:eastAsia="仿宋_GB2312"/>
              </w:rPr>
              <w:t>㎡，办公楼共计面积为</w:t>
            </w:r>
            <w:r>
              <w:rPr>
                <w:rFonts w:ascii="仿宋_GB2312" w:hAnsi="仿宋_GB2312" w:cs="仿宋_GB2312" w:eastAsia="仿宋_GB2312"/>
              </w:rPr>
              <w:t>9588</w:t>
            </w:r>
            <w:r>
              <w:rPr>
                <w:rFonts w:ascii="仿宋_GB2312" w:hAnsi="仿宋_GB2312" w:cs="仿宋_GB2312" w:eastAsia="仿宋_GB2312"/>
              </w:rPr>
              <w:t>㎡，地下仓储库房类面积共计</w:t>
            </w:r>
            <w:r>
              <w:rPr>
                <w:rFonts w:ascii="仿宋_GB2312" w:hAnsi="仿宋_GB2312" w:cs="仿宋_GB2312" w:eastAsia="仿宋_GB2312"/>
              </w:rPr>
              <w:t>1725m2</w:t>
            </w:r>
          </w:p>
          <w:p>
            <w:pPr>
              <w:pStyle w:val="null3"/>
              <w:ind w:firstLine="400"/>
            </w:pP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w:t>
            </w:r>
            <w:r>
              <w:rPr>
                <w:rFonts w:ascii="仿宋_GB2312" w:hAnsi="仿宋_GB2312" w:cs="仿宋_GB2312" w:eastAsia="仿宋_GB2312"/>
              </w:rPr>
              <w:t>物业公用设施设备的运行、维修、养护和管理</w:t>
            </w:r>
          </w:p>
          <w:p>
            <w:pPr>
              <w:pStyle w:val="null3"/>
              <w:ind w:firstLine="400"/>
            </w:pPr>
            <w:r>
              <w:rPr>
                <w:rFonts w:ascii="仿宋_GB2312" w:hAnsi="仿宋_GB2312" w:cs="仿宋_GB2312" w:eastAsia="仿宋_GB2312"/>
              </w:rPr>
              <w:t>1.</w:t>
            </w:r>
            <w:r>
              <w:rPr>
                <w:rFonts w:ascii="仿宋_GB2312" w:hAnsi="仿宋_GB2312" w:cs="仿宋_GB2312" w:eastAsia="仿宋_GB2312"/>
              </w:rPr>
              <w:t>供水设备运行正常、设施完好无渗漏、无污染。</w:t>
            </w:r>
          </w:p>
          <w:p>
            <w:pPr>
              <w:pStyle w:val="null3"/>
              <w:ind w:firstLine="400"/>
            </w:pPr>
            <w:r>
              <w:rPr>
                <w:rFonts w:ascii="仿宋_GB2312" w:hAnsi="仿宋_GB2312" w:cs="仿宋_GB2312" w:eastAsia="仿宋_GB2312"/>
              </w:rPr>
              <w:t>2.</w:t>
            </w:r>
            <w:r>
              <w:rPr>
                <w:rFonts w:ascii="仿宋_GB2312" w:hAnsi="仿宋_GB2312" w:cs="仿宋_GB2312" w:eastAsia="仿宋_GB2312"/>
              </w:rPr>
              <w:t>供电设备运行正常，公共照明及设备完好。</w:t>
            </w:r>
          </w:p>
          <w:p>
            <w:pPr>
              <w:pStyle w:val="null3"/>
              <w:ind w:firstLine="400"/>
            </w:pPr>
            <w:r>
              <w:rPr>
                <w:rFonts w:ascii="仿宋_GB2312" w:hAnsi="仿宋_GB2312" w:cs="仿宋_GB2312" w:eastAsia="仿宋_GB2312"/>
              </w:rPr>
              <w:t>3.</w:t>
            </w:r>
            <w:r>
              <w:rPr>
                <w:rFonts w:ascii="仿宋_GB2312" w:hAnsi="仿宋_GB2312" w:cs="仿宋_GB2312" w:eastAsia="仿宋_GB2312"/>
              </w:rPr>
              <w:t>各种车辆按规定位置停放、管理有序。</w:t>
            </w:r>
          </w:p>
          <w:p>
            <w:pPr>
              <w:pStyle w:val="null3"/>
              <w:ind w:firstLine="400"/>
            </w:pPr>
            <w:r>
              <w:rPr>
                <w:rFonts w:ascii="仿宋_GB2312" w:hAnsi="仿宋_GB2312" w:cs="仿宋_GB2312" w:eastAsia="仿宋_GB2312"/>
              </w:rPr>
              <w:t>(</w:t>
            </w:r>
            <w:r>
              <w:rPr>
                <w:rFonts w:ascii="仿宋_GB2312" w:hAnsi="仿宋_GB2312" w:cs="仿宋_GB2312" w:eastAsia="仿宋_GB2312"/>
              </w:rPr>
              <w:t>三</w:t>
            </w:r>
            <w:r>
              <w:rPr>
                <w:rFonts w:ascii="仿宋_GB2312" w:hAnsi="仿宋_GB2312" w:cs="仿宋_GB2312" w:eastAsia="仿宋_GB2312"/>
              </w:rPr>
              <w:t>)</w:t>
            </w:r>
            <w:r>
              <w:rPr>
                <w:rFonts w:ascii="仿宋_GB2312" w:hAnsi="仿宋_GB2312" w:cs="仿宋_GB2312" w:eastAsia="仿宋_GB2312"/>
              </w:rPr>
              <w:t>公共秩序维护管理</w:t>
            </w:r>
          </w:p>
          <w:p>
            <w:pPr>
              <w:pStyle w:val="null3"/>
              <w:ind w:firstLine="400"/>
            </w:pPr>
            <w:r>
              <w:rPr>
                <w:rFonts w:ascii="仿宋_GB2312" w:hAnsi="仿宋_GB2312" w:cs="仿宋_GB2312" w:eastAsia="仿宋_GB2312"/>
              </w:rPr>
              <w:t>1.</w:t>
            </w:r>
            <w:r>
              <w:rPr>
                <w:rFonts w:ascii="仿宋_GB2312" w:hAnsi="仿宋_GB2312" w:cs="仿宋_GB2312" w:eastAsia="仿宋_GB2312"/>
              </w:rPr>
              <w:t>小区大门口设置保安实行</w:t>
            </w:r>
            <w:r>
              <w:rPr>
                <w:rFonts w:ascii="仿宋_GB2312" w:hAnsi="仿宋_GB2312" w:cs="仿宋_GB2312" w:eastAsia="仿宋_GB2312"/>
              </w:rPr>
              <w:t>24</w:t>
            </w:r>
            <w:r>
              <w:rPr>
                <w:rFonts w:ascii="仿宋_GB2312" w:hAnsi="仿宋_GB2312" w:cs="仿宋_GB2312" w:eastAsia="仿宋_GB2312"/>
              </w:rPr>
              <w:t>小时值班制度。</w:t>
            </w:r>
          </w:p>
          <w:p>
            <w:pPr>
              <w:pStyle w:val="null3"/>
              <w:ind w:firstLine="400"/>
            </w:pPr>
            <w:r>
              <w:rPr>
                <w:rFonts w:ascii="仿宋_GB2312" w:hAnsi="仿宋_GB2312" w:cs="仿宋_GB2312" w:eastAsia="仿宋_GB2312"/>
              </w:rPr>
              <w:t>2.</w:t>
            </w:r>
            <w:r>
              <w:rPr>
                <w:rFonts w:ascii="仿宋_GB2312" w:hAnsi="仿宋_GB2312" w:cs="仿宋_GB2312" w:eastAsia="仿宋_GB2312"/>
              </w:rPr>
              <w:t>保安人员熟悉环境，文明执勤、训练有素、语言规范、认真负责。</w:t>
            </w:r>
          </w:p>
          <w:p>
            <w:pPr>
              <w:pStyle w:val="null3"/>
              <w:ind w:firstLine="400"/>
            </w:pPr>
            <w:r>
              <w:rPr>
                <w:rFonts w:ascii="仿宋_GB2312" w:hAnsi="仿宋_GB2312" w:cs="仿宋_GB2312" w:eastAsia="仿宋_GB2312"/>
              </w:rPr>
              <w:t>(</w:t>
            </w:r>
            <w:r>
              <w:rPr>
                <w:rFonts w:ascii="仿宋_GB2312" w:hAnsi="仿宋_GB2312" w:cs="仿宋_GB2312" w:eastAsia="仿宋_GB2312"/>
              </w:rPr>
              <w:t>四</w:t>
            </w:r>
            <w:r>
              <w:rPr>
                <w:rFonts w:ascii="仿宋_GB2312" w:hAnsi="仿宋_GB2312" w:cs="仿宋_GB2312" w:eastAsia="仿宋_GB2312"/>
              </w:rPr>
              <w:t>)</w:t>
            </w:r>
            <w:r>
              <w:rPr>
                <w:rFonts w:ascii="仿宋_GB2312" w:hAnsi="仿宋_GB2312" w:cs="仿宋_GB2312" w:eastAsia="仿宋_GB2312"/>
              </w:rPr>
              <w:t>食堂餐饮服务</w:t>
            </w:r>
          </w:p>
          <w:p>
            <w:pPr>
              <w:pStyle w:val="null3"/>
              <w:ind w:firstLine="400"/>
            </w:pP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负责数据中心职工的用餐供应和接待。</w:t>
            </w:r>
          </w:p>
          <w:p>
            <w:pPr>
              <w:pStyle w:val="null3"/>
              <w:ind w:firstLine="400"/>
            </w:pP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负责餐饮设备的安全操作及餐厅水、电、火、气的安全使用。</w:t>
            </w:r>
          </w:p>
          <w:p>
            <w:pPr>
              <w:pStyle w:val="null3"/>
              <w:ind w:firstLine="400"/>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负责餐厅卫生清洁与维护，符合餐饮卫生标准。</w:t>
            </w:r>
          </w:p>
          <w:p>
            <w:pPr>
              <w:pStyle w:val="null3"/>
              <w:ind w:firstLine="400"/>
            </w:pPr>
            <w:r>
              <w:rPr>
                <w:rFonts w:ascii="仿宋_GB2312" w:hAnsi="仿宋_GB2312" w:cs="仿宋_GB2312" w:eastAsia="仿宋_GB2312"/>
              </w:rPr>
              <w:t>4</w:t>
            </w:r>
            <w:r>
              <w:rPr>
                <w:rFonts w:ascii="仿宋_GB2312" w:hAnsi="仿宋_GB2312" w:cs="仿宋_GB2312" w:eastAsia="仿宋_GB2312"/>
              </w:rPr>
              <w:t>.</w:t>
            </w:r>
            <w:r>
              <w:rPr>
                <w:rFonts w:ascii="仿宋_GB2312" w:hAnsi="仿宋_GB2312" w:cs="仿宋_GB2312" w:eastAsia="仿宋_GB2312"/>
              </w:rPr>
              <w:t>确保饭菜质量达到要求，符合国家食品安全标准。</w:t>
            </w:r>
          </w:p>
          <w:p>
            <w:pPr>
              <w:pStyle w:val="null3"/>
              <w:ind w:firstLine="400"/>
            </w:pPr>
            <w:r>
              <w:rPr>
                <w:rFonts w:ascii="仿宋_GB2312" w:hAnsi="仿宋_GB2312" w:cs="仿宋_GB2312" w:eastAsia="仿宋_GB2312"/>
              </w:rPr>
              <w:t>5</w:t>
            </w:r>
            <w:r>
              <w:rPr>
                <w:rFonts w:ascii="仿宋_GB2312" w:hAnsi="仿宋_GB2312" w:cs="仿宋_GB2312" w:eastAsia="仿宋_GB2312"/>
              </w:rPr>
              <w:t>.</w:t>
            </w:r>
            <w:r>
              <w:rPr>
                <w:rFonts w:ascii="仿宋_GB2312" w:hAnsi="仿宋_GB2312" w:cs="仿宋_GB2312" w:eastAsia="仿宋_GB2312"/>
              </w:rPr>
              <w:t>确保餐饮服务人员素质符合需求</w:t>
            </w:r>
          </w:p>
          <w:p>
            <w:pPr>
              <w:pStyle w:val="null3"/>
              <w:ind w:firstLine="400"/>
            </w:pPr>
            <w:r>
              <w:rPr>
                <w:rFonts w:ascii="仿宋_GB2312" w:hAnsi="仿宋_GB2312" w:cs="仿宋_GB2312" w:eastAsia="仿宋_GB2312"/>
              </w:rPr>
              <w:t>供餐品种要求</w:t>
            </w:r>
            <w:r>
              <w:rPr>
                <w:rFonts w:ascii="仿宋_GB2312" w:hAnsi="仿宋_GB2312" w:cs="仿宋_GB2312" w:eastAsia="仿宋_GB2312"/>
              </w:rPr>
              <w:t>:</w:t>
            </w:r>
            <w:r>
              <w:rPr>
                <w:rFonts w:ascii="仿宋_GB2312" w:hAnsi="仿宋_GB2312" w:cs="仿宋_GB2312" w:eastAsia="仿宋_GB2312"/>
              </w:rPr>
              <w:t>按餐厅管理部门要求供餐，基本模式如下</w:t>
            </w:r>
            <w:r>
              <w:rPr>
                <w:rFonts w:ascii="仿宋_GB2312" w:hAnsi="仿宋_GB2312" w:cs="仿宋_GB2312" w:eastAsia="仿宋_GB2312"/>
              </w:rPr>
              <w:t>:</w:t>
            </w:r>
          </w:p>
          <w:p>
            <w:pPr>
              <w:pStyle w:val="null3"/>
              <w:ind w:firstLine="400"/>
            </w:pPr>
            <w:r>
              <w:rPr>
                <w:rFonts w:ascii="仿宋_GB2312" w:hAnsi="仿宋_GB2312" w:cs="仿宋_GB2312" w:eastAsia="仿宋_GB2312"/>
              </w:rPr>
              <w:t>①</w:t>
            </w:r>
            <w:r>
              <w:rPr>
                <w:rFonts w:ascii="仿宋_GB2312" w:hAnsi="仿宋_GB2312" w:cs="仿宋_GB2312" w:eastAsia="仿宋_GB2312"/>
              </w:rPr>
              <w:t>早餐</w:t>
            </w:r>
            <w:r>
              <w:rPr>
                <w:rFonts w:ascii="仿宋_GB2312" w:hAnsi="仿宋_GB2312" w:cs="仿宋_GB2312" w:eastAsia="仿宋_GB2312"/>
              </w:rPr>
              <w:t>:</w:t>
            </w:r>
            <w:r>
              <w:rPr>
                <w:rFonts w:ascii="仿宋_GB2312" w:hAnsi="仿宋_GB2312" w:cs="仿宋_GB2312" w:eastAsia="仿宋_GB2312"/>
              </w:rPr>
              <w:t>粥品</w:t>
            </w:r>
            <w:r>
              <w:rPr>
                <w:rFonts w:ascii="仿宋_GB2312" w:hAnsi="仿宋_GB2312" w:cs="仿宋_GB2312" w:eastAsia="仿宋_GB2312"/>
              </w:rPr>
              <w:t>2</w:t>
            </w:r>
            <w:r>
              <w:rPr>
                <w:rFonts w:ascii="仿宋_GB2312" w:hAnsi="仿宋_GB2312" w:cs="仿宋_GB2312" w:eastAsia="仿宋_GB2312"/>
              </w:rPr>
              <w:t>种</w:t>
            </w:r>
            <w:r>
              <w:rPr>
                <w:rFonts w:ascii="仿宋_GB2312" w:hAnsi="仿宋_GB2312" w:cs="仿宋_GB2312" w:eastAsia="仿宋_GB2312"/>
              </w:rPr>
              <w:t>(</w:t>
            </w:r>
            <w:r>
              <w:rPr>
                <w:rFonts w:ascii="仿宋_GB2312" w:hAnsi="仿宋_GB2312" w:cs="仿宋_GB2312" w:eastAsia="仿宋_GB2312"/>
              </w:rPr>
              <w:t>一咸一甜</w:t>
            </w:r>
            <w:r>
              <w:rPr>
                <w:rFonts w:ascii="仿宋_GB2312" w:hAnsi="仿宋_GB2312" w:cs="仿宋_GB2312" w:eastAsia="仿宋_GB2312"/>
              </w:rPr>
              <w:t>)</w:t>
            </w:r>
          </w:p>
          <w:p>
            <w:pPr>
              <w:pStyle w:val="null3"/>
              <w:ind w:firstLine="400"/>
            </w:pPr>
            <w:r>
              <w:rPr>
                <w:rFonts w:ascii="仿宋_GB2312" w:hAnsi="仿宋_GB2312" w:cs="仿宋_GB2312" w:eastAsia="仿宋_GB2312"/>
              </w:rPr>
              <w:t>小菜</w:t>
            </w:r>
            <w:r>
              <w:rPr>
                <w:rFonts w:ascii="仿宋_GB2312" w:hAnsi="仿宋_GB2312" w:cs="仿宋_GB2312" w:eastAsia="仿宋_GB2312"/>
              </w:rPr>
              <w:t>2</w:t>
            </w:r>
            <w:r>
              <w:rPr>
                <w:rFonts w:ascii="仿宋_GB2312" w:hAnsi="仿宋_GB2312" w:cs="仿宋_GB2312" w:eastAsia="仿宋_GB2312"/>
              </w:rPr>
              <w:t>种</w:t>
            </w:r>
          </w:p>
          <w:p>
            <w:pPr>
              <w:pStyle w:val="null3"/>
              <w:ind w:firstLine="400"/>
            </w:pPr>
            <w:r>
              <w:rPr>
                <w:rFonts w:ascii="仿宋_GB2312" w:hAnsi="仿宋_GB2312" w:cs="仿宋_GB2312" w:eastAsia="仿宋_GB2312"/>
              </w:rPr>
              <w:t>主食</w:t>
            </w:r>
            <w:r>
              <w:rPr>
                <w:rFonts w:ascii="仿宋_GB2312" w:hAnsi="仿宋_GB2312" w:cs="仿宋_GB2312" w:eastAsia="仿宋_GB2312"/>
              </w:rPr>
              <w:t>1</w:t>
            </w:r>
            <w:r>
              <w:rPr>
                <w:rFonts w:ascii="仿宋_GB2312" w:hAnsi="仿宋_GB2312" w:cs="仿宋_GB2312" w:eastAsia="仿宋_GB2312"/>
              </w:rPr>
              <w:t>种</w:t>
            </w:r>
            <w:r>
              <w:rPr>
                <w:rFonts w:ascii="仿宋_GB2312" w:hAnsi="仿宋_GB2312" w:cs="仿宋_GB2312" w:eastAsia="仿宋_GB2312"/>
              </w:rPr>
              <w:t>(</w:t>
            </w:r>
            <w:r>
              <w:rPr>
                <w:rFonts w:ascii="仿宋_GB2312" w:hAnsi="仿宋_GB2312" w:cs="仿宋_GB2312" w:eastAsia="仿宋_GB2312"/>
              </w:rPr>
              <w:t>馒头或花卷</w:t>
            </w:r>
            <w:r>
              <w:rPr>
                <w:rFonts w:ascii="仿宋_GB2312" w:hAnsi="仿宋_GB2312" w:cs="仿宋_GB2312" w:eastAsia="仿宋_GB2312"/>
              </w:rPr>
              <w:t>)</w:t>
            </w:r>
          </w:p>
          <w:p>
            <w:pPr>
              <w:pStyle w:val="null3"/>
              <w:ind w:firstLine="400"/>
            </w:pPr>
            <w:r>
              <w:rPr>
                <w:rFonts w:ascii="仿宋_GB2312" w:hAnsi="仿宋_GB2312" w:cs="仿宋_GB2312" w:eastAsia="仿宋_GB2312"/>
              </w:rPr>
              <w:t>小吃</w:t>
            </w:r>
            <w:r>
              <w:rPr>
                <w:rFonts w:ascii="仿宋_GB2312" w:hAnsi="仿宋_GB2312" w:cs="仿宋_GB2312" w:eastAsia="仿宋_GB2312"/>
              </w:rPr>
              <w:t>1</w:t>
            </w:r>
            <w:r>
              <w:rPr>
                <w:rFonts w:ascii="仿宋_GB2312" w:hAnsi="仿宋_GB2312" w:cs="仿宋_GB2312" w:eastAsia="仿宋_GB2312"/>
              </w:rPr>
              <w:t>种</w:t>
            </w:r>
            <w:r>
              <w:rPr>
                <w:rFonts w:ascii="仿宋_GB2312" w:hAnsi="仿宋_GB2312" w:cs="仿宋_GB2312" w:eastAsia="仿宋_GB2312"/>
              </w:rPr>
              <w:t>(</w:t>
            </w:r>
            <w:r>
              <w:rPr>
                <w:rFonts w:ascii="仿宋_GB2312" w:hAnsi="仿宋_GB2312" w:cs="仿宋_GB2312" w:eastAsia="仿宋_GB2312"/>
              </w:rPr>
              <w:t>西点或地方小吃</w:t>
            </w:r>
            <w:r>
              <w:rPr>
                <w:rFonts w:ascii="仿宋_GB2312" w:hAnsi="仿宋_GB2312" w:cs="仿宋_GB2312" w:eastAsia="仿宋_GB2312"/>
              </w:rPr>
              <w:t>)</w:t>
            </w:r>
          </w:p>
          <w:p>
            <w:pPr>
              <w:pStyle w:val="null3"/>
              <w:ind w:firstLine="400"/>
            </w:pPr>
            <w:r>
              <w:rPr>
                <w:rFonts w:ascii="仿宋_GB2312" w:hAnsi="仿宋_GB2312" w:cs="仿宋_GB2312" w:eastAsia="仿宋_GB2312"/>
              </w:rPr>
              <w:t>②</w:t>
            </w:r>
            <w:r>
              <w:rPr>
                <w:rFonts w:ascii="仿宋_GB2312" w:hAnsi="仿宋_GB2312" w:cs="仿宋_GB2312" w:eastAsia="仿宋_GB2312"/>
              </w:rPr>
              <w:t>中餐</w:t>
            </w:r>
            <w:r>
              <w:rPr>
                <w:rFonts w:ascii="仿宋_GB2312" w:hAnsi="仿宋_GB2312" w:cs="仿宋_GB2312" w:eastAsia="仿宋_GB2312"/>
              </w:rPr>
              <w:t>:4</w:t>
            </w:r>
            <w:r>
              <w:rPr>
                <w:rFonts w:ascii="仿宋_GB2312" w:hAnsi="仿宋_GB2312" w:cs="仿宋_GB2312" w:eastAsia="仿宋_GB2312"/>
              </w:rPr>
              <w:t>种菜品</w:t>
            </w:r>
            <w:r>
              <w:rPr>
                <w:rFonts w:ascii="仿宋_GB2312" w:hAnsi="仿宋_GB2312" w:cs="仿宋_GB2312" w:eastAsia="仿宋_GB2312"/>
              </w:rPr>
              <w:t>(1</w:t>
            </w:r>
            <w:r>
              <w:rPr>
                <w:rFonts w:ascii="仿宋_GB2312" w:hAnsi="仿宋_GB2312" w:cs="仿宋_GB2312" w:eastAsia="仿宋_GB2312"/>
              </w:rPr>
              <w:t>个主荤</w:t>
            </w:r>
            <w:r>
              <w:rPr>
                <w:rFonts w:ascii="仿宋_GB2312" w:hAnsi="仿宋_GB2312" w:cs="仿宋_GB2312" w:eastAsia="仿宋_GB2312"/>
              </w:rPr>
              <w:t>1</w:t>
            </w:r>
            <w:r>
              <w:rPr>
                <w:rFonts w:ascii="仿宋_GB2312" w:hAnsi="仿宋_GB2312" w:cs="仿宋_GB2312" w:eastAsia="仿宋_GB2312"/>
              </w:rPr>
              <w:t>个副荤</w:t>
            </w:r>
            <w:r>
              <w:rPr>
                <w:rFonts w:ascii="仿宋_GB2312" w:hAnsi="仿宋_GB2312" w:cs="仿宋_GB2312" w:eastAsia="仿宋_GB2312"/>
              </w:rPr>
              <w:t>1</w:t>
            </w:r>
            <w:r>
              <w:rPr>
                <w:rFonts w:ascii="仿宋_GB2312" w:hAnsi="仿宋_GB2312" w:cs="仿宋_GB2312" w:eastAsia="仿宋_GB2312"/>
              </w:rPr>
              <w:t>个俏菜</w:t>
            </w:r>
            <w:r>
              <w:rPr>
                <w:rFonts w:ascii="仿宋_GB2312" w:hAnsi="仿宋_GB2312" w:cs="仿宋_GB2312" w:eastAsia="仿宋_GB2312"/>
              </w:rPr>
              <w:t>1</w:t>
            </w:r>
            <w:r>
              <w:rPr>
                <w:rFonts w:ascii="仿宋_GB2312" w:hAnsi="仿宋_GB2312" w:cs="仿宋_GB2312" w:eastAsia="仿宋_GB2312"/>
              </w:rPr>
              <w:t>个素菜</w:t>
            </w:r>
            <w:r>
              <w:rPr>
                <w:rFonts w:ascii="仿宋_GB2312" w:hAnsi="仿宋_GB2312" w:cs="仿宋_GB2312" w:eastAsia="仿宋_GB2312"/>
              </w:rPr>
              <w:t>)</w:t>
            </w:r>
            <w:r>
              <w:rPr>
                <w:rFonts w:ascii="仿宋_GB2312" w:hAnsi="仿宋_GB2312" w:cs="仿宋_GB2312" w:eastAsia="仿宋_GB2312"/>
              </w:rPr>
              <w:t>面食</w:t>
            </w:r>
            <w:r>
              <w:rPr>
                <w:rFonts w:ascii="仿宋_GB2312" w:hAnsi="仿宋_GB2312" w:cs="仿宋_GB2312" w:eastAsia="仿宋_GB2312"/>
              </w:rPr>
              <w:t>(</w:t>
            </w:r>
            <w:r>
              <w:rPr>
                <w:rFonts w:ascii="仿宋_GB2312" w:hAnsi="仿宋_GB2312" w:cs="仿宋_GB2312" w:eastAsia="仿宋_GB2312"/>
              </w:rPr>
              <w:t>地方小吃或面条</w:t>
            </w:r>
            <w:r>
              <w:rPr>
                <w:rFonts w:ascii="仿宋_GB2312" w:hAnsi="仿宋_GB2312" w:cs="仿宋_GB2312" w:eastAsia="仿宋_GB2312"/>
              </w:rPr>
              <w:t>)1</w:t>
            </w:r>
            <w:r>
              <w:rPr>
                <w:rFonts w:ascii="仿宋_GB2312" w:hAnsi="仿宋_GB2312" w:cs="仿宋_GB2312" w:eastAsia="仿宋_GB2312"/>
              </w:rPr>
              <w:t>种</w:t>
            </w:r>
          </w:p>
          <w:p>
            <w:pPr>
              <w:pStyle w:val="null3"/>
              <w:ind w:firstLine="400"/>
            </w:pPr>
            <w:r>
              <w:rPr>
                <w:rFonts w:ascii="仿宋_GB2312" w:hAnsi="仿宋_GB2312" w:cs="仿宋_GB2312" w:eastAsia="仿宋_GB2312"/>
              </w:rPr>
              <w:t>主食</w:t>
            </w:r>
            <w:r>
              <w:rPr>
                <w:rFonts w:ascii="仿宋_GB2312" w:hAnsi="仿宋_GB2312" w:cs="仿宋_GB2312" w:eastAsia="仿宋_GB2312"/>
              </w:rPr>
              <w:t>(</w:t>
            </w:r>
            <w:r>
              <w:rPr>
                <w:rFonts w:ascii="仿宋_GB2312" w:hAnsi="仿宋_GB2312" w:cs="仿宋_GB2312" w:eastAsia="仿宋_GB2312"/>
              </w:rPr>
              <w:t>米饭</w:t>
            </w:r>
            <w:r>
              <w:rPr>
                <w:rFonts w:ascii="仿宋_GB2312" w:hAnsi="仿宋_GB2312" w:cs="仿宋_GB2312" w:eastAsia="仿宋_GB2312"/>
              </w:rPr>
              <w:t>+</w:t>
            </w:r>
            <w:r>
              <w:rPr>
                <w:rFonts w:ascii="仿宋_GB2312" w:hAnsi="仿宋_GB2312" w:cs="仿宋_GB2312" w:eastAsia="仿宋_GB2312"/>
              </w:rPr>
              <w:t>馒头或花卷</w:t>
            </w:r>
            <w:r>
              <w:rPr>
                <w:rFonts w:ascii="仿宋_GB2312" w:hAnsi="仿宋_GB2312" w:cs="仿宋_GB2312" w:eastAsia="仿宋_GB2312"/>
              </w:rPr>
              <w:t>)</w:t>
            </w:r>
          </w:p>
          <w:p>
            <w:pPr>
              <w:pStyle w:val="null3"/>
              <w:ind w:firstLine="400"/>
            </w:pPr>
            <w:r>
              <w:rPr>
                <w:rFonts w:ascii="仿宋_GB2312" w:hAnsi="仿宋_GB2312" w:cs="仿宋_GB2312" w:eastAsia="仿宋_GB2312"/>
              </w:rPr>
              <w:t>杂粮</w:t>
            </w:r>
            <w:r>
              <w:rPr>
                <w:rFonts w:ascii="仿宋_GB2312" w:hAnsi="仿宋_GB2312" w:cs="仿宋_GB2312" w:eastAsia="仿宋_GB2312"/>
              </w:rPr>
              <w:t>1</w:t>
            </w:r>
            <w:r>
              <w:rPr>
                <w:rFonts w:ascii="仿宋_GB2312" w:hAnsi="仿宋_GB2312" w:cs="仿宋_GB2312" w:eastAsia="仿宋_GB2312"/>
              </w:rPr>
              <w:t>种</w:t>
            </w:r>
          </w:p>
          <w:p>
            <w:pPr>
              <w:pStyle w:val="null3"/>
              <w:ind w:firstLine="400"/>
            </w:pPr>
            <w:r>
              <w:rPr>
                <w:rFonts w:ascii="仿宋_GB2312" w:hAnsi="仿宋_GB2312" w:cs="仿宋_GB2312" w:eastAsia="仿宋_GB2312"/>
              </w:rPr>
              <w:t>汤品</w:t>
            </w:r>
            <w:r>
              <w:rPr>
                <w:rFonts w:ascii="仿宋_GB2312" w:hAnsi="仿宋_GB2312" w:cs="仿宋_GB2312" w:eastAsia="仿宋_GB2312"/>
              </w:rPr>
              <w:t>1</w:t>
            </w:r>
            <w:r>
              <w:rPr>
                <w:rFonts w:ascii="仿宋_GB2312" w:hAnsi="仿宋_GB2312" w:cs="仿宋_GB2312" w:eastAsia="仿宋_GB2312"/>
              </w:rPr>
              <w:t>种</w:t>
            </w:r>
          </w:p>
          <w:p>
            <w:pPr>
              <w:pStyle w:val="null3"/>
              <w:ind w:firstLine="400"/>
            </w:pPr>
            <w:r>
              <w:rPr>
                <w:rFonts w:ascii="仿宋_GB2312" w:hAnsi="仿宋_GB2312" w:cs="仿宋_GB2312" w:eastAsia="仿宋_GB2312"/>
              </w:rPr>
              <w:t>③</w:t>
            </w:r>
            <w:r>
              <w:rPr>
                <w:rFonts w:ascii="仿宋_GB2312" w:hAnsi="仿宋_GB2312" w:cs="仿宋_GB2312" w:eastAsia="仿宋_GB2312"/>
              </w:rPr>
              <w:t>晚餐</w:t>
            </w:r>
            <w:r>
              <w:rPr>
                <w:rFonts w:ascii="仿宋_GB2312" w:hAnsi="仿宋_GB2312" w:cs="仿宋_GB2312" w:eastAsia="仿宋_GB2312"/>
              </w:rPr>
              <w:t>:2</w:t>
            </w:r>
            <w:r>
              <w:rPr>
                <w:rFonts w:ascii="仿宋_GB2312" w:hAnsi="仿宋_GB2312" w:cs="仿宋_GB2312" w:eastAsia="仿宋_GB2312"/>
              </w:rPr>
              <w:t>种菜品</w:t>
            </w:r>
            <w:r>
              <w:rPr>
                <w:rFonts w:ascii="仿宋_GB2312" w:hAnsi="仿宋_GB2312" w:cs="仿宋_GB2312" w:eastAsia="仿宋_GB2312"/>
              </w:rPr>
              <w:t>(1</w:t>
            </w:r>
            <w:r>
              <w:rPr>
                <w:rFonts w:ascii="仿宋_GB2312" w:hAnsi="仿宋_GB2312" w:cs="仿宋_GB2312" w:eastAsia="仿宋_GB2312"/>
              </w:rPr>
              <w:t>个主荤</w:t>
            </w:r>
            <w:r>
              <w:rPr>
                <w:rFonts w:ascii="仿宋_GB2312" w:hAnsi="仿宋_GB2312" w:cs="仿宋_GB2312" w:eastAsia="仿宋_GB2312"/>
              </w:rPr>
              <w:t>1</w:t>
            </w:r>
            <w:r>
              <w:rPr>
                <w:rFonts w:ascii="仿宋_GB2312" w:hAnsi="仿宋_GB2312" w:cs="仿宋_GB2312" w:eastAsia="仿宋_GB2312"/>
              </w:rPr>
              <w:t>个素菜</w:t>
            </w:r>
            <w:r>
              <w:rPr>
                <w:rFonts w:ascii="仿宋_GB2312" w:hAnsi="仿宋_GB2312" w:cs="仿宋_GB2312" w:eastAsia="仿宋_GB2312"/>
              </w:rPr>
              <w:t>)</w:t>
            </w:r>
          </w:p>
          <w:p>
            <w:pPr>
              <w:pStyle w:val="null3"/>
              <w:ind w:firstLine="400"/>
            </w:pPr>
            <w:r>
              <w:rPr>
                <w:rFonts w:ascii="仿宋_GB2312" w:hAnsi="仿宋_GB2312" w:cs="仿宋_GB2312" w:eastAsia="仿宋_GB2312"/>
              </w:rPr>
              <w:t>面食</w:t>
            </w:r>
            <w:r>
              <w:rPr>
                <w:rFonts w:ascii="仿宋_GB2312" w:hAnsi="仿宋_GB2312" w:cs="仿宋_GB2312" w:eastAsia="仿宋_GB2312"/>
              </w:rPr>
              <w:t>(</w:t>
            </w:r>
            <w:r>
              <w:rPr>
                <w:rFonts w:ascii="仿宋_GB2312" w:hAnsi="仿宋_GB2312" w:cs="仿宋_GB2312" w:eastAsia="仿宋_GB2312"/>
              </w:rPr>
              <w:t>地方小吃或面条</w:t>
            </w:r>
            <w:r>
              <w:rPr>
                <w:rFonts w:ascii="仿宋_GB2312" w:hAnsi="仿宋_GB2312" w:cs="仿宋_GB2312" w:eastAsia="仿宋_GB2312"/>
              </w:rPr>
              <w:t>)1</w:t>
            </w:r>
            <w:r>
              <w:rPr>
                <w:rFonts w:ascii="仿宋_GB2312" w:hAnsi="仿宋_GB2312" w:cs="仿宋_GB2312" w:eastAsia="仿宋_GB2312"/>
              </w:rPr>
              <w:t>种</w:t>
            </w:r>
          </w:p>
          <w:p>
            <w:pPr>
              <w:pStyle w:val="null3"/>
              <w:ind w:firstLine="400"/>
            </w:pPr>
            <w:r>
              <w:rPr>
                <w:rFonts w:ascii="仿宋_GB2312" w:hAnsi="仿宋_GB2312" w:cs="仿宋_GB2312" w:eastAsia="仿宋_GB2312"/>
              </w:rPr>
              <w:t>主食</w:t>
            </w:r>
            <w:r>
              <w:rPr>
                <w:rFonts w:ascii="仿宋_GB2312" w:hAnsi="仿宋_GB2312" w:cs="仿宋_GB2312" w:eastAsia="仿宋_GB2312"/>
              </w:rPr>
              <w:t>(</w:t>
            </w:r>
            <w:r>
              <w:rPr>
                <w:rFonts w:ascii="仿宋_GB2312" w:hAnsi="仿宋_GB2312" w:cs="仿宋_GB2312" w:eastAsia="仿宋_GB2312"/>
              </w:rPr>
              <w:t>米饭十馒头或花卷</w:t>
            </w:r>
            <w:r>
              <w:rPr>
                <w:rFonts w:ascii="仿宋_GB2312" w:hAnsi="仿宋_GB2312" w:cs="仿宋_GB2312" w:eastAsia="仿宋_GB2312"/>
              </w:rPr>
              <w:t>+</w:t>
            </w:r>
            <w:r>
              <w:rPr>
                <w:rFonts w:ascii="仿宋_GB2312" w:hAnsi="仿宋_GB2312" w:cs="仿宋_GB2312" w:eastAsia="仿宋_GB2312"/>
              </w:rPr>
              <w:t>饼类</w:t>
            </w:r>
            <w:r>
              <w:rPr>
                <w:rFonts w:ascii="仿宋_GB2312" w:hAnsi="仿宋_GB2312" w:cs="仿宋_GB2312" w:eastAsia="仿宋_GB2312"/>
              </w:rPr>
              <w:t>1</w:t>
            </w:r>
            <w:r>
              <w:rPr>
                <w:rFonts w:ascii="仿宋_GB2312" w:hAnsi="仿宋_GB2312" w:cs="仿宋_GB2312" w:eastAsia="仿宋_GB2312"/>
              </w:rPr>
              <w:t>种</w:t>
            </w:r>
            <w:r>
              <w:rPr>
                <w:rFonts w:ascii="仿宋_GB2312" w:hAnsi="仿宋_GB2312" w:cs="仿宋_GB2312" w:eastAsia="仿宋_GB2312"/>
              </w:rPr>
              <w:t>)</w:t>
            </w:r>
          </w:p>
          <w:p>
            <w:pPr>
              <w:pStyle w:val="null3"/>
              <w:ind w:firstLine="400"/>
            </w:pPr>
            <w:r>
              <w:rPr>
                <w:rFonts w:ascii="仿宋_GB2312" w:hAnsi="仿宋_GB2312" w:cs="仿宋_GB2312" w:eastAsia="仿宋_GB2312"/>
              </w:rPr>
              <w:t>④</w:t>
            </w:r>
            <w:r>
              <w:rPr>
                <w:rFonts w:ascii="仿宋_GB2312" w:hAnsi="仿宋_GB2312" w:cs="仿宋_GB2312" w:eastAsia="仿宋_GB2312"/>
              </w:rPr>
              <w:t>夜餐</w:t>
            </w:r>
            <w:r>
              <w:rPr>
                <w:rFonts w:ascii="仿宋_GB2312" w:hAnsi="仿宋_GB2312" w:cs="仿宋_GB2312" w:eastAsia="仿宋_GB2312"/>
              </w:rPr>
              <w:t>:</w:t>
            </w:r>
            <w:r>
              <w:rPr>
                <w:rFonts w:ascii="仿宋_GB2312" w:hAnsi="仿宋_GB2312" w:cs="仿宋_GB2312" w:eastAsia="仿宋_GB2312"/>
              </w:rPr>
              <w:t>主食</w:t>
            </w:r>
            <w:r>
              <w:rPr>
                <w:rFonts w:ascii="仿宋_GB2312" w:hAnsi="仿宋_GB2312" w:cs="仿宋_GB2312" w:eastAsia="仿宋_GB2312"/>
              </w:rPr>
              <w:t>1</w:t>
            </w:r>
            <w:r>
              <w:rPr>
                <w:rFonts w:ascii="仿宋_GB2312" w:hAnsi="仿宋_GB2312" w:cs="仿宋_GB2312" w:eastAsia="仿宋_GB2312"/>
              </w:rPr>
              <w:t>种</w:t>
            </w:r>
            <w:r>
              <w:rPr>
                <w:rFonts w:ascii="仿宋_GB2312" w:hAnsi="仿宋_GB2312" w:cs="仿宋_GB2312" w:eastAsia="仿宋_GB2312"/>
              </w:rPr>
              <w:t>(</w:t>
            </w:r>
            <w:r>
              <w:rPr>
                <w:rFonts w:ascii="仿宋_GB2312" w:hAnsi="仿宋_GB2312" w:cs="仿宋_GB2312" w:eastAsia="仿宋_GB2312"/>
              </w:rPr>
              <w:t>地方小吃或面食或米饭</w:t>
            </w:r>
            <w:r>
              <w:rPr>
                <w:rFonts w:ascii="仿宋_GB2312" w:hAnsi="仿宋_GB2312" w:cs="仿宋_GB2312" w:eastAsia="仿宋_GB2312"/>
              </w:rPr>
              <w:t>)</w:t>
            </w:r>
          </w:p>
          <w:p>
            <w:pPr>
              <w:pStyle w:val="null3"/>
              <w:ind w:firstLine="400"/>
            </w:pPr>
            <w:r>
              <w:rPr>
                <w:rFonts w:ascii="仿宋_GB2312" w:hAnsi="仿宋_GB2312" w:cs="仿宋_GB2312" w:eastAsia="仿宋_GB2312"/>
              </w:rPr>
              <w:t>饼类</w:t>
            </w:r>
            <w:r>
              <w:rPr>
                <w:rFonts w:ascii="仿宋_GB2312" w:hAnsi="仿宋_GB2312" w:cs="仿宋_GB2312" w:eastAsia="仿宋_GB2312"/>
              </w:rPr>
              <w:t>1</w:t>
            </w:r>
            <w:r>
              <w:rPr>
                <w:rFonts w:ascii="仿宋_GB2312" w:hAnsi="仿宋_GB2312" w:cs="仿宋_GB2312" w:eastAsia="仿宋_GB2312"/>
              </w:rPr>
              <w:t>种</w:t>
            </w:r>
            <w:r>
              <w:rPr>
                <w:rFonts w:ascii="仿宋_GB2312" w:hAnsi="仿宋_GB2312" w:cs="仿宋_GB2312" w:eastAsia="仿宋_GB2312"/>
              </w:rPr>
              <w:t>(</w:t>
            </w:r>
            <w:r>
              <w:rPr>
                <w:rFonts w:ascii="仿宋_GB2312" w:hAnsi="仿宋_GB2312" w:cs="仿宋_GB2312" w:eastAsia="仿宋_GB2312"/>
              </w:rPr>
              <w:t>饼类或馒头花卷</w:t>
            </w:r>
            <w:r>
              <w:rPr>
                <w:rFonts w:ascii="仿宋_GB2312" w:hAnsi="仿宋_GB2312" w:cs="仿宋_GB2312" w:eastAsia="仿宋_GB2312"/>
              </w:rPr>
              <w:t>)</w:t>
            </w:r>
          </w:p>
          <w:p>
            <w:pPr>
              <w:pStyle w:val="null3"/>
              <w:numPr>
                <w:ilvl w:val="0"/>
                <w:numId w:val="1"/>
              </w:numPr>
            </w:pPr>
            <w:r>
              <w:rPr>
                <w:rFonts w:ascii="仿宋_GB2312" w:hAnsi="仿宋_GB2312" w:cs="仿宋_GB2312" w:eastAsia="仿宋_GB2312"/>
                <w:b/>
              </w:rPr>
              <w:t>人员要求：</w:t>
            </w:r>
          </w:p>
          <w:tbl>
            <w:tblPr>
              <w:tblBorders>
                <w:top w:val="none" w:color="000000" w:sz="4"/>
                <w:left w:val="none" w:color="000000" w:sz="4"/>
                <w:bottom w:val="none" w:color="000000" w:sz="4"/>
                <w:right w:val="none" w:color="000000" w:sz="4"/>
                <w:insideH w:val="none"/>
                <w:insideV w:val="none"/>
              </w:tblBorders>
            </w:tblPr>
            <w:tblGrid>
              <w:gridCol w:w="258"/>
              <w:gridCol w:w="534"/>
              <w:gridCol w:w="493"/>
              <w:gridCol w:w="1268"/>
            </w:tblGrid>
            <w:tr>
              <w:tc>
                <w:tcPr>
                  <w:tcW w:type="dxa" w:w="25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534"/>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岗位名称</w:t>
                  </w:r>
                </w:p>
              </w:tc>
              <w:tc>
                <w:tcPr>
                  <w:tcW w:type="dxa" w:w="493"/>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人员数量</w:t>
                  </w:r>
                </w:p>
              </w:tc>
              <w:tc>
                <w:tcPr>
                  <w:tcW w:type="dxa" w:w="1268"/>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2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3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项目经理</w:t>
                  </w:r>
                </w:p>
              </w:tc>
              <w:tc>
                <w:tcPr>
                  <w:tcW w:type="dxa" w:w="49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要求有</w:t>
                  </w:r>
                  <w:r>
                    <w:rPr>
                      <w:rFonts w:ascii="仿宋_GB2312" w:hAnsi="仿宋_GB2312" w:cs="仿宋_GB2312" w:eastAsia="仿宋_GB2312"/>
                      <w:sz w:val="20"/>
                    </w:rPr>
                    <w:t>6年以上物业服务工作经验，并有3年以上写字楼项目负责人任职经历，全面负责项目物业服务工作，</w:t>
                  </w:r>
                  <w:r>
                    <w:rPr>
                      <w:rFonts w:ascii="仿宋_GB2312" w:hAnsi="仿宋_GB2312" w:cs="仿宋_GB2312" w:eastAsia="仿宋_GB2312"/>
                      <w:sz w:val="20"/>
                    </w:rPr>
                    <w:t>项目经理具有全国物业管理从业人员岗位证书</w:t>
                  </w:r>
                </w:p>
              </w:tc>
            </w:tr>
            <w:tr>
              <w:tc>
                <w:tcPr>
                  <w:tcW w:type="dxa" w:w="2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3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厨师长</w:t>
                  </w:r>
                </w:p>
              </w:tc>
              <w:tc>
                <w:tcPr>
                  <w:tcW w:type="dxa" w:w="49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2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协助项目经理工作，后厨卫生第一责任人，</w:t>
                  </w:r>
                  <w:r>
                    <w:rPr>
                      <w:rFonts w:ascii="仿宋_GB2312" w:hAnsi="仿宋_GB2312" w:cs="仿宋_GB2312" w:eastAsia="仿宋_GB2312"/>
                      <w:sz w:val="20"/>
                    </w:rPr>
                    <w:t>具备中级厨师证</w:t>
                  </w:r>
                  <w:r>
                    <w:rPr>
                      <w:rFonts w:ascii="仿宋_GB2312" w:hAnsi="仿宋_GB2312" w:cs="仿宋_GB2312" w:eastAsia="仿宋_GB2312"/>
                      <w:sz w:val="20"/>
                    </w:rPr>
                    <w:t>，且有至少</w:t>
                  </w:r>
                  <w:r>
                    <w:rPr>
                      <w:rFonts w:ascii="仿宋_GB2312" w:hAnsi="仿宋_GB2312" w:cs="仿宋_GB2312" w:eastAsia="仿宋_GB2312"/>
                      <w:sz w:val="20"/>
                    </w:rPr>
                    <w:t>3年餐饮服务工作经验</w:t>
                  </w:r>
                  <w:r>
                    <w:rPr>
                      <w:rFonts w:ascii="仿宋_GB2312" w:hAnsi="仿宋_GB2312" w:cs="仿宋_GB2312" w:eastAsia="仿宋_GB2312"/>
                      <w:sz w:val="20"/>
                    </w:rPr>
                    <w:t>。</w:t>
                  </w:r>
                </w:p>
              </w:tc>
            </w:tr>
            <w:tr>
              <w:tc>
                <w:tcPr>
                  <w:tcW w:type="dxa" w:w="2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3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洗碗工</w:t>
                  </w:r>
                </w:p>
              </w:tc>
              <w:tc>
                <w:tcPr>
                  <w:tcW w:type="dxa" w:w="49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2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服从厨师长工作安排，区域卫生第一责任人</w:t>
                  </w:r>
                  <w:r>
                    <w:rPr>
                      <w:rFonts w:ascii="仿宋_GB2312" w:hAnsi="仿宋_GB2312" w:cs="仿宋_GB2312" w:eastAsia="仿宋_GB2312"/>
                      <w:sz w:val="20"/>
                    </w:rPr>
                    <w:t>。</w:t>
                  </w:r>
                </w:p>
              </w:tc>
            </w:tr>
            <w:tr>
              <w:tc>
                <w:tcPr>
                  <w:tcW w:type="dxa" w:w="2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3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炒锅</w:t>
                  </w:r>
                </w:p>
              </w:tc>
              <w:tc>
                <w:tcPr>
                  <w:tcW w:type="dxa" w:w="49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2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协助厨师长工作。</w:t>
                  </w:r>
                </w:p>
              </w:tc>
            </w:tr>
            <w:tr>
              <w:tc>
                <w:tcPr>
                  <w:tcW w:type="dxa" w:w="2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53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大面点</w:t>
                  </w:r>
                </w:p>
              </w:tc>
              <w:tc>
                <w:tcPr>
                  <w:tcW w:type="dxa" w:w="49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2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协助厨师长工作。</w:t>
                  </w:r>
                </w:p>
              </w:tc>
            </w:tr>
            <w:tr>
              <w:tc>
                <w:tcPr>
                  <w:tcW w:type="dxa" w:w="2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3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大砧板</w:t>
                  </w:r>
                </w:p>
              </w:tc>
              <w:tc>
                <w:tcPr>
                  <w:tcW w:type="dxa" w:w="49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2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协助厨师长工作。</w:t>
                  </w:r>
                </w:p>
              </w:tc>
            </w:tr>
            <w:tr>
              <w:tc>
                <w:tcPr>
                  <w:tcW w:type="dxa" w:w="2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53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服务员</w:t>
                  </w:r>
                </w:p>
              </w:tc>
              <w:tc>
                <w:tcPr>
                  <w:tcW w:type="dxa" w:w="49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2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负责餐厅卫生。</w:t>
                  </w:r>
                </w:p>
              </w:tc>
            </w:tr>
            <w:tr>
              <w:tc>
                <w:tcPr>
                  <w:tcW w:type="dxa" w:w="2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53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保洁员</w:t>
                  </w:r>
                </w:p>
              </w:tc>
              <w:tc>
                <w:tcPr>
                  <w:tcW w:type="dxa" w:w="49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2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负责楼里楼外、地上地下的清洁、保洁，定期进行消杀服务等。</w:t>
                  </w:r>
                </w:p>
              </w:tc>
            </w:tr>
            <w:tr>
              <w:tc>
                <w:tcPr>
                  <w:tcW w:type="dxa" w:w="2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53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安保员</w:t>
                  </w:r>
                </w:p>
              </w:tc>
              <w:tc>
                <w:tcPr>
                  <w:tcW w:type="dxa" w:w="49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2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所有安保秩序维护人员年龄</w:t>
                  </w:r>
                  <w:r>
                    <w:rPr>
                      <w:rFonts w:ascii="仿宋_GB2312" w:hAnsi="仿宋_GB2312" w:cs="仿宋_GB2312" w:eastAsia="仿宋_GB2312"/>
                      <w:sz w:val="20"/>
                    </w:rPr>
                    <w:t>≤</w:t>
                  </w:r>
                  <w:r>
                    <w:rPr>
                      <w:rFonts w:ascii="仿宋_GB2312" w:hAnsi="仿宋_GB2312" w:cs="仿宋_GB2312" w:eastAsia="仿宋_GB2312"/>
                      <w:sz w:val="20"/>
                    </w:rPr>
                    <w:t>40岁，50岁以上(含)的不超过 10%。</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成交后供应商</w:t>
                  </w:r>
                  <w:r>
                    <w:rPr>
                      <w:rFonts w:ascii="仿宋_GB2312" w:hAnsi="仿宋_GB2312" w:cs="仿宋_GB2312" w:eastAsia="仿宋_GB2312"/>
                      <w:sz w:val="20"/>
                    </w:rPr>
                    <w:t>派驻</w:t>
                  </w:r>
                  <w:r>
                    <w:rPr>
                      <w:rFonts w:ascii="仿宋_GB2312" w:hAnsi="仿宋_GB2312" w:cs="仿宋_GB2312" w:eastAsia="仿宋_GB2312"/>
                      <w:sz w:val="20"/>
                    </w:rPr>
                    <w:t>的安保人员</w:t>
                  </w:r>
                  <w:r>
                    <w:rPr>
                      <w:rFonts w:ascii="仿宋_GB2312" w:hAnsi="仿宋_GB2312" w:cs="仿宋_GB2312" w:eastAsia="仿宋_GB2312"/>
                      <w:sz w:val="20"/>
                    </w:rPr>
                    <w:t>应持有《保安员》证书。</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供应商</w:t>
                  </w:r>
                  <w:r>
                    <w:rPr>
                      <w:rFonts w:ascii="仿宋_GB2312" w:hAnsi="仿宋_GB2312" w:cs="仿宋_GB2312" w:eastAsia="仿宋_GB2312"/>
                      <w:sz w:val="20"/>
                    </w:rPr>
                    <w:t>在</w:t>
                  </w:r>
                  <w:r>
                    <w:rPr>
                      <w:rFonts w:ascii="仿宋_GB2312" w:hAnsi="仿宋_GB2312" w:cs="仿宋_GB2312" w:eastAsia="仿宋_GB2312"/>
                      <w:sz w:val="20"/>
                    </w:rPr>
                    <w:t>安保人员</w:t>
                  </w:r>
                  <w:r>
                    <w:rPr>
                      <w:rFonts w:ascii="仿宋_GB2312" w:hAnsi="仿宋_GB2312" w:cs="仿宋_GB2312" w:eastAsia="仿宋_GB2312"/>
                      <w:sz w:val="20"/>
                    </w:rPr>
                    <w:t>上岗前</w:t>
                  </w:r>
                  <w:r>
                    <w:rPr>
                      <w:rFonts w:ascii="仿宋_GB2312" w:hAnsi="仿宋_GB2312" w:cs="仿宋_GB2312" w:eastAsia="仿宋_GB2312"/>
                      <w:sz w:val="20"/>
                    </w:rPr>
                    <w:t>需</w:t>
                  </w:r>
                  <w:r>
                    <w:rPr>
                      <w:rFonts w:ascii="仿宋_GB2312" w:hAnsi="仿宋_GB2312" w:cs="仿宋_GB2312" w:eastAsia="仿宋_GB2312"/>
                      <w:sz w:val="20"/>
                    </w:rPr>
                    <w:t>向</w:t>
                  </w:r>
                  <w:r>
                    <w:rPr>
                      <w:rFonts w:ascii="仿宋_GB2312" w:hAnsi="仿宋_GB2312" w:cs="仿宋_GB2312" w:eastAsia="仿宋_GB2312"/>
                      <w:sz w:val="20"/>
                    </w:rPr>
                    <w:t>采购人</w:t>
                  </w:r>
                  <w:r>
                    <w:rPr>
                      <w:rFonts w:ascii="仿宋_GB2312" w:hAnsi="仿宋_GB2312" w:cs="仿宋_GB2312" w:eastAsia="仿宋_GB2312"/>
                      <w:sz w:val="20"/>
                    </w:rPr>
                    <w:t>提供全部人员的无犯罪记录证明。</w:t>
                  </w:r>
                </w:p>
                <w:p>
                  <w:pPr>
                    <w:pStyle w:val="null3"/>
                    <w:jc w:val="both"/>
                  </w:pPr>
                  <w:r>
                    <w:rPr>
                      <w:rFonts w:ascii="仿宋_GB2312" w:hAnsi="仿宋_GB2312" w:cs="仿宋_GB2312" w:eastAsia="仿宋_GB2312"/>
                      <w:sz w:val="20"/>
                    </w:rPr>
                    <w:t>供应商提供以上满足安保人员要求的承诺书</w:t>
                  </w:r>
                  <w:r>
                    <w:rPr>
                      <w:rFonts w:ascii="仿宋_GB2312" w:hAnsi="仿宋_GB2312" w:cs="仿宋_GB2312" w:eastAsia="仿宋_GB2312"/>
                      <w:sz w:val="20"/>
                    </w:rPr>
                    <w:t>（格式自拟）</w:t>
                  </w:r>
                  <w:r>
                    <w:rPr>
                      <w:rFonts w:ascii="仿宋_GB2312" w:hAnsi="仿宋_GB2312" w:cs="仿宋_GB2312" w:eastAsia="仿宋_GB2312"/>
                      <w:sz w:val="20"/>
                    </w:rPr>
                    <w:t>。</w:t>
                  </w:r>
                </w:p>
              </w:tc>
            </w:tr>
            <w:tr>
              <w:tc>
                <w:tcPr>
                  <w:tcW w:type="dxa" w:w="25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53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工程维护员</w:t>
                  </w:r>
                </w:p>
              </w:tc>
              <w:tc>
                <w:tcPr>
                  <w:tcW w:type="dxa" w:w="49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2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负责公共区域水电系统、安全消防系统等设施设备的管理维护及公共区域基础设施设备维修工作。</w:t>
                  </w:r>
                </w:p>
              </w:tc>
            </w:tr>
            <w:tr>
              <w:tc>
                <w:tcPr>
                  <w:tcW w:type="dxa" w:w="792"/>
                  <w:gridSpan w:val="2"/>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w:t>
                  </w:r>
                </w:p>
              </w:tc>
              <w:tc>
                <w:tcPr>
                  <w:tcW w:type="dxa" w:w="49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p>
              </w:tc>
              <w:tc>
                <w:tcPr>
                  <w:tcW w:type="dxa" w:w="1268"/>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表格内所有人员一致实行包吃不包住管理模式</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详见服务要求内人员配置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签订合同后，按季度付款，乙方开具结算金额的等额发票交至甲方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签订合同后，按季度付款，乙方开具结算金额的等额发票交至甲方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签订合同后，按季度付款，乙方开具结算金额的等额发票交至甲方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签订合同后，按季度付款，乙方开具结算金额的等额发票交至甲方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磋商时无需提供纸质响应文件，成交供应商在领取成交通知书时提供纸质响应文件两份，纸质版文件须是电子化交易平台系统生成的响应文件。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具有良好的商业信誉和健全的财务会计制度（提供会计师事务所出具的2024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会计师事务所出具的2024年度审计报告（须赋验证码），或递交响应文件截止之日前六个月内银行开具的资信证明，或信用担保机构出具的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授权书及被授权人证明</w:t>
            </w:r>
          </w:p>
        </w:tc>
        <w:tc>
          <w:tcPr>
            <w:tcW w:type="dxa" w:w="3322"/>
          </w:tcPr>
          <w:p>
            <w:pPr>
              <w:pStyle w:val="null3"/>
            </w:pPr>
            <w:r>
              <w:rPr>
                <w:rFonts w:ascii="仿宋_GB2312" w:hAnsi="仿宋_GB2312" w:cs="仿宋_GB2312" w:eastAsia="仿宋_GB2312"/>
              </w:rPr>
              <w:t>供应商应授权合法的人员参加磋商全过程，法定代表人（或负责人）委托代理人参加磋商时，应提供法定代表人委托授权书及被授权人的参保缴费证明（须赋可查询的验证编号或验证二维码）和劳动合同；法定代表人（或负责人）亲自参加磋商时，应提供法定代表人（或负责人）身份证，并与营业执照上信息一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供应商具有有效的《食品经营许可证》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单位公章</w:t>
            </w:r>
          </w:p>
        </w:tc>
        <w:tc>
          <w:tcPr>
            <w:tcW w:type="dxa" w:w="3322"/>
          </w:tcPr>
          <w:p>
            <w:pPr>
              <w:pStyle w:val="null3"/>
            </w:pPr>
            <w:r>
              <w:rPr>
                <w:rFonts w:ascii="仿宋_GB2312" w:hAnsi="仿宋_GB2312" w:cs="仿宋_GB2312" w:eastAsia="仿宋_GB2312"/>
              </w:rPr>
              <w:t>磋商响应文件加盖供应商单位公章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磋商响应文件按磋商文件要求法定代表人（或负责人）或其授权代表签字或盖章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供应商磋商报价未出现选择性报价</w:t>
            </w:r>
          </w:p>
        </w:tc>
        <w:tc>
          <w:tcPr>
            <w:tcW w:type="dxa" w:w="1661"/>
          </w:tcPr>
          <w:p>
            <w:pPr>
              <w:pStyle w:val="null3"/>
            </w:pPr>
            <w:r>
              <w:rPr>
                <w:rFonts w:ascii="仿宋_GB2312" w:hAnsi="仿宋_GB2312" w:cs="仿宋_GB2312" w:eastAsia="仿宋_GB2312"/>
              </w:rPr>
              <w:t>响应报价明细表.docx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报价超出采购预算或最高限价</w:t>
            </w:r>
          </w:p>
        </w:tc>
        <w:tc>
          <w:tcPr>
            <w:tcW w:type="dxa" w:w="3322"/>
          </w:tcPr>
          <w:p>
            <w:pPr>
              <w:pStyle w:val="null3"/>
            </w:pPr>
            <w:r>
              <w:rPr>
                <w:rFonts w:ascii="仿宋_GB2312" w:hAnsi="仿宋_GB2312" w:cs="仿宋_GB2312" w:eastAsia="仿宋_GB2312"/>
              </w:rPr>
              <w:t>磋商报价未超出采购预算或最高限价</w:t>
            </w:r>
          </w:p>
        </w:tc>
        <w:tc>
          <w:tcPr>
            <w:tcW w:type="dxa" w:w="1661"/>
          </w:tcPr>
          <w:p>
            <w:pPr>
              <w:pStyle w:val="null3"/>
            </w:pPr>
            <w:r>
              <w:rPr>
                <w:rFonts w:ascii="仿宋_GB2312" w:hAnsi="仿宋_GB2312" w:cs="仿宋_GB2312" w:eastAsia="仿宋_GB2312"/>
              </w:rPr>
              <w:t>响应报价明细表.docx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响应文件中技术、服务内容达不到采购要求，出现重大负偏差，降低了服务要求</w:t>
            </w:r>
          </w:p>
        </w:tc>
        <w:tc>
          <w:tcPr>
            <w:tcW w:type="dxa" w:w="3322"/>
          </w:tcPr>
          <w:p>
            <w:pPr>
              <w:pStyle w:val="null3"/>
            </w:pPr>
            <w:r>
              <w:rPr>
                <w:rFonts w:ascii="仿宋_GB2312" w:hAnsi="仿宋_GB2312" w:cs="仿宋_GB2312" w:eastAsia="仿宋_GB2312"/>
              </w:rPr>
              <w:t>技术、服务内容达到采购要求，未出现重大负偏差，未降低了服务要求</w:t>
            </w:r>
          </w:p>
        </w:tc>
        <w:tc>
          <w:tcPr>
            <w:tcW w:type="dxa" w:w="1661"/>
          </w:tcPr>
          <w:p>
            <w:pPr>
              <w:pStyle w:val="null3"/>
            </w:pPr>
            <w:r>
              <w:rPr>
                <w:rFonts w:ascii="仿宋_GB2312" w:hAnsi="仿宋_GB2312" w:cs="仿宋_GB2312" w:eastAsia="仿宋_GB2312"/>
              </w:rPr>
              <w:t>采购需求偏离表.docx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响应文件中附加了采购人难以接受的条件</w:t>
            </w:r>
          </w:p>
        </w:tc>
        <w:tc>
          <w:tcPr>
            <w:tcW w:type="dxa" w:w="3322"/>
          </w:tcPr>
          <w:p>
            <w:pPr>
              <w:pStyle w:val="null3"/>
            </w:pPr>
            <w:r>
              <w:rPr>
                <w:rFonts w:ascii="仿宋_GB2312" w:hAnsi="仿宋_GB2312" w:cs="仿宋_GB2312" w:eastAsia="仿宋_GB2312"/>
              </w:rPr>
              <w:t>响应文件中未附加采购人难以接受的条件</w:t>
            </w:r>
          </w:p>
        </w:tc>
        <w:tc>
          <w:tcPr>
            <w:tcW w:type="dxa" w:w="1661"/>
          </w:tcPr>
          <w:p>
            <w:pPr>
              <w:pStyle w:val="null3"/>
            </w:pPr>
            <w:r>
              <w:rPr>
                <w:rFonts w:ascii="仿宋_GB2312" w:hAnsi="仿宋_GB2312" w:cs="仿宋_GB2312" w:eastAsia="仿宋_GB2312"/>
              </w:rPr>
              <w:t>商务要求（合同草案条款）偏离表.docx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信用查询中列入失信被执行人、重大税收违法案件当事人名单、政府采购严重违法失信行为记录名单及其他不符合《中华人民共和国政府采购法》第二十二条规定条件的供应商，拒绝参与政府采购活动。</w:t>
            </w:r>
          </w:p>
        </w:tc>
        <w:tc>
          <w:tcPr>
            <w:tcW w:type="dxa" w:w="1661"/>
          </w:tcPr>
          <w:p>
            <w:pPr>
              <w:pStyle w:val="null3"/>
            </w:pPr>
            <w:r>
              <w:rPr>
                <w:rFonts w:ascii="仿宋_GB2312" w:hAnsi="仿宋_GB2312" w:cs="仿宋_GB2312" w:eastAsia="仿宋_GB2312"/>
              </w:rPr>
              <w:t>磋商方案说明.docx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1、提供物业服务方案，服务方案有针对性、科学合理、考虑全面。（35分） 1-1、保洁服务方案，按其响应程度计0～5分。 1-2、安保服务方案，按其响应程度计0～5分。 1-3、公共秩序维护管理服务方案，按其响应程度计0～5分。 1-4、基础设施设备维护方案，按其响应程度计0～5分。 1-5、根据食品质量控制方案、食材管理及保存管理措施方案进行评审，按其响应程度计0～5分。 1-6、根据厨房及餐厅保洁方案进行评审。按其响应程度计0～5分。 1-7、根据提供食谱的营养搭配、品种及口味进行评审。按其响应程度计0～5分。 2、提供突发事件（包括火灾、地震等自然灾害及公共卫生安全事件等）的应急预案。按其响应程度计0～5分。 3、针对本项目物业服务的重难点分析，有合理健全的实施方案和计划，按其响应程度计0～5分。</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1、建立健全相关管理制度，包含但不限于物业档案管理制度，客户回访制度，服务考核制度等，按其响应程度计0～5分。 2、提供服务质量自检及整改标准。按其响应程度计0～5分。 3、提供各类服务人员的培训方案，包括但不限于培训计划、目标及言行规范、仪容仪表、服务必备技能等内容，按其响应程度计0～5分。 4、拟投入物业服务的相关专业设备配置评审，配置齐全，涵盖日常物业需求，按其响应程度计0～5分。 5、各供应商应完整、准确地表述出针对本次项目的服务承诺（包含针对本项目的服务质量目标、服务期限及服务过程中的人员到岗情况等），按其响应程度计0～5分。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1、服务人员分工安排合理、职责划分明确，按其响应程度计0～5分。 2、各类物业服务人员，保证在岗期间命令传达畅通、及时，按其响应程度计0～5分。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供应商提供2022年1月1日至今类似项目业绩，业绩以合同为依据，响应文件中附有其证明资料，每提供一个业绩证明计2分，满分10分。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详见附件：磋商方案说明.docx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详见附件：商务要求（合同草案条款）偏离表.docx</w:t>
      </w:r>
    </w:p>
    <w:p>
      <w:pPr>
        <w:pStyle w:val="null3"/>
        <w:ind w:firstLine="960"/>
      </w:pPr>
      <w:r>
        <w:rPr>
          <w:rFonts w:ascii="仿宋_GB2312" w:hAnsi="仿宋_GB2312" w:cs="仿宋_GB2312" w:eastAsia="仿宋_GB2312"/>
        </w:rPr>
        <w:t>详见附件：响应报价明细表.docx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详见附件：合同草案条款-上传.docx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