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44C1A">
      <w:pPr>
        <w:pStyle w:val="8"/>
        <w:jc w:val="center"/>
        <w:outlineLvl w:val="1"/>
        <w:rPr>
          <w:rFonts w:hint="default"/>
          <w:highlight w:val="none"/>
        </w:rPr>
      </w:pPr>
      <w:r>
        <w:rPr>
          <w:b/>
          <w:sz w:val="36"/>
          <w:highlight w:val="none"/>
        </w:rPr>
        <w:t>拟签订采购合同文本</w:t>
      </w:r>
    </w:p>
    <w:p w14:paraId="69DE6D82">
      <w:pPr>
        <w:pStyle w:val="8"/>
        <w:rPr>
          <w:highlight w:val="none"/>
        </w:rPr>
      </w:pPr>
    </w:p>
    <w:p w14:paraId="1B86888B">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lang w:val="zh-CN"/>
        </w:rPr>
      </w:pPr>
      <w:r>
        <w:rPr>
          <w:rFonts w:hint="eastAsia"/>
          <w:highlight w:val="none"/>
          <w:lang w:val="zh-CN"/>
        </w:rPr>
        <w:t>甲方：（前款所称采购人）     住所：</w:t>
      </w:r>
    </w:p>
    <w:p w14:paraId="03D35CA0">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lang w:val="zh-CN"/>
        </w:rPr>
      </w:pPr>
      <w:r>
        <w:rPr>
          <w:rFonts w:hint="eastAsia"/>
          <w:highlight w:val="none"/>
          <w:lang w:val="zh-CN"/>
        </w:rPr>
        <w:t>乙方：（前款所称中标人）     住所：</w:t>
      </w:r>
    </w:p>
    <w:p w14:paraId="1A892D36">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r>
        <w:rPr>
          <w:rFonts w:hint="eastAsia"/>
          <w:b/>
          <w:bCs/>
          <w:highlight w:val="none"/>
        </w:rPr>
        <w:t>一、合同内容（标的、范围、质量等）:</w:t>
      </w:r>
      <w:bookmarkStart w:id="1" w:name="_GoBack"/>
      <w:bookmarkEnd w:id="1"/>
    </w:p>
    <w:p w14:paraId="6AD97CFD">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r>
        <w:rPr>
          <w:rFonts w:hint="eastAsia"/>
          <w:b/>
          <w:bCs/>
          <w:highlight w:val="none"/>
        </w:rPr>
        <w:t>二、合同价款</w:t>
      </w:r>
    </w:p>
    <w:p w14:paraId="7D42A052">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1、合同总价：</w:t>
      </w:r>
    </w:p>
    <w:p w14:paraId="19187D43">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2、合同总价包括：完成服务要求所需的一切费用。</w:t>
      </w:r>
    </w:p>
    <w:p w14:paraId="73BA7A1E">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3、合同总价一次包死，不受市场价变化的影响。</w:t>
      </w:r>
    </w:p>
    <w:p w14:paraId="71C227D0">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r>
        <w:rPr>
          <w:rFonts w:hint="eastAsia"/>
          <w:b/>
          <w:bCs/>
          <w:highlight w:val="none"/>
        </w:rPr>
        <w:t>三、合同结算</w:t>
      </w:r>
    </w:p>
    <w:p w14:paraId="2B92F333">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1、付款比例：</w:t>
      </w:r>
    </w:p>
    <w:p w14:paraId="18BCDA5D">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签订合同后，按季度付款，每季度支付合同总价的25%。</w:t>
      </w:r>
    </w:p>
    <w:p w14:paraId="7A91D69B">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本合同的物业管理服务费按照</w:t>
      </w:r>
      <w:r>
        <w:rPr>
          <w:rFonts w:hint="eastAsia"/>
          <w:highlight w:val="none"/>
          <w:lang w:val="en-US" w:eastAsia="zh-CN"/>
        </w:rPr>
        <w:t>季</w:t>
      </w:r>
      <w:r>
        <w:rPr>
          <w:rFonts w:hint="eastAsia"/>
          <w:highlight w:val="none"/>
        </w:rPr>
        <w:t>度进行结算，每</w:t>
      </w:r>
      <w:r>
        <w:rPr>
          <w:rFonts w:hint="eastAsia"/>
          <w:highlight w:val="none"/>
          <w:lang w:val="en-US" w:eastAsia="zh-CN"/>
        </w:rPr>
        <w:t>季度</w:t>
      </w:r>
      <w:r>
        <w:rPr>
          <w:rFonts w:hint="eastAsia"/>
          <w:highlight w:val="none"/>
        </w:rPr>
        <w:t>底甲方有权对乙方该</w:t>
      </w:r>
      <w:r>
        <w:rPr>
          <w:rFonts w:hint="eastAsia"/>
          <w:highlight w:val="none"/>
          <w:lang w:val="en-US" w:eastAsia="zh-CN"/>
        </w:rPr>
        <w:t>季度</w:t>
      </w:r>
      <w:r>
        <w:rPr>
          <w:rFonts w:hint="eastAsia"/>
          <w:highlight w:val="none"/>
        </w:rPr>
        <w:t>物业服务工作进行验收考核，按照考核费用确认单金额，在乙方提供正式发票后</w:t>
      </w:r>
      <w:r>
        <w:rPr>
          <w:rFonts w:hint="eastAsia"/>
          <w:highlight w:val="none"/>
          <w:lang w:val="en-US" w:eastAsia="zh-CN"/>
        </w:rPr>
        <w:t>30</w:t>
      </w:r>
      <w:r>
        <w:rPr>
          <w:rFonts w:hint="eastAsia"/>
          <w:highlight w:val="none"/>
        </w:rPr>
        <w:t>日内，向乙方支付该</w:t>
      </w:r>
      <w:r>
        <w:rPr>
          <w:rFonts w:hint="eastAsia"/>
          <w:highlight w:val="none"/>
          <w:lang w:val="en-US" w:eastAsia="zh-CN"/>
        </w:rPr>
        <w:t>季度</w:t>
      </w:r>
      <w:r>
        <w:rPr>
          <w:rFonts w:hint="eastAsia"/>
          <w:highlight w:val="none"/>
        </w:rPr>
        <w:t>物业管理服务费。</w:t>
      </w:r>
    </w:p>
    <w:p w14:paraId="78D2B14F">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2、结算方式：银行转账。</w:t>
      </w:r>
    </w:p>
    <w:p w14:paraId="448478C5">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3、结算单位：由采购人负责结算，乙方开具</w:t>
      </w:r>
      <w:r>
        <w:rPr>
          <w:rFonts w:hint="eastAsia"/>
          <w:highlight w:val="none"/>
          <w:lang w:val="en-US" w:eastAsia="zh-CN"/>
        </w:rPr>
        <w:t>相应</w:t>
      </w:r>
      <w:r>
        <w:rPr>
          <w:rFonts w:hint="eastAsia"/>
          <w:highlight w:val="none"/>
        </w:rPr>
        <w:t>合同</w:t>
      </w:r>
      <w:r>
        <w:rPr>
          <w:rFonts w:hint="eastAsia"/>
          <w:highlight w:val="none"/>
          <w:lang w:val="en-US" w:eastAsia="zh-CN"/>
        </w:rPr>
        <w:t>价款</w:t>
      </w:r>
      <w:r>
        <w:rPr>
          <w:rFonts w:hint="eastAsia"/>
          <w:highlight w:val="none"/>
        </w:rPr>
        <w:t>的发票交采购人。</w:t>
      </w:r>
    </w:p>
    <w:p w14:paraId="18A55328">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r>
        <w:rPr>
          <w:rFonts w:hint="eastAsia"/>
          <w:b/>
          <w:bCs/>
          <w:highlight w:val="none"/>
        </w:rPr>
        <w:t>四、履行期限、地点及方式:</w:t>
      </w:r>
    </w:p>
    <w:p w14:paraId="0ED52E46">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1、履行期限：按照采购人要求</w:t>
      </w:r>
    </w:p>
    <w:p w14:paraId="107DE09B">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2、地点：按照采购人要求</w:t>
      </w:r>
    </w:p>
    <w:p w14:paraId="18BE9F9A">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3、方式：按照采购人要求</w:t>
      </w:r>
    </w:p>
    <w:p w14:paraId="3BEAD07A">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bookmarkStart w:id="0" w:name="_Toc19515391"/>
      <w:r>
        <w:rPr>
          <w:rFonts w:hint="eastAsia"/>
          <w:b/>
          <w:bCs/>
          <w:highlight w:val="none"/>
        </w:rPr>
        <w:t>五、服务工作要求和质量保证</w:t>
      </w:r>
    </w:p>
    <w:p w14:paraId="457A186E">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各项具体工作的质量标准和作业规范，按国家相关标准、规范执行。</w:t>
      </w:r>
    </w:p>
    <w:p w14:paraId="6923B99B">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r>
        <w:rPr>
          <w:rFonts w:hint="eastAsia"/>
          <w:b/>
          <w:bCs/>
          <w:highlight w:val="none"/>
        </w:rPr>
        <w:t>六、验收</w:t>
      </w:r>
      <w:bookmarkEnd w:id="0"/>
    </w:p>
    <w:p w14:paraId="29C59D8E">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1、验收依据：</w:t>
      </w:r>
    </w:p>
    <w:p w14:paraId="5A39DBEC">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1-1、合同文本、合同附件、磋商文件、响应文件。</w:t>
      </w:r>
    </w:p>
    <w:p w14:paraId="47E6E123">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1-2、国内相应的标准、规范。</w:t>
      </w:r>
    </w:p>
    <w:p w14:paraId="7C902919">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r>
        <w:rPr>
          <w:rFonts w:hint="eastAsia"/>
          <w:b/>
          <w:bCs/>
          <w:highlight w:val="none"/>
        </w:rPr>
        <w:t>七、甲方的权利和义务</w:t>
      </w:r>
    </w:p>
    <w:p w14:paraId="4E77B364">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1、代表和维护产权人、使用人的合法权益。</w:t>
      </w:r>
    </w:p>
    <w:p w14:paraId="2B07CCDE">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 xml:space="preserve">2、有权要求乙方执行相关规定、制度及办法等。 </w:t>
      </w:r>
    </w:p>
    <w:p w14:paraId="58BF1634">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 xml:space="preserve">3、检查、监督和考核乙方管理工作的实施及制度的执行情况，根据考核办法及考核验收结果核算费用。 </w:t>
      </w:r>
    </w:p>
    <w:p w14:paraId="4FE4BAB2">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 xml:space="preserve">4、按合同约定支付管理服务费用。 </w:t>
      </w:r>
    </w:p>
    <w:p w14:paraId="65E69227">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5、向乙方提供管护所需的水源、电源等。</w:t>
      </w:r>
    </w:p>
    <w:p w14:paraId="626F1BAE">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6、在条件许可的情况下，向乙方提供适当的管理用房和工具放置场所。</w:t>
      </w:r>
    </w:p>
    <w:p w14:paraId="08763850">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 xml:space="preserve">7、如果管护中出现问题相关人员有意见、投诉，或在重大活动及上级检查中出现的重大问题，甲方有权对乙方提出批评、警告限期整改，乙方有义务按照甲方要求进行整改。 </w:t>
      </w:r>
    </w:p>
    <w:p w14:paraId="2C0BBF5B">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8、为保证工作顺利开展，对乙方委派至甲方工作的人员中不称职者，甲方有权提出更换。</w:t>
      </w:r>
    </w:p>
    <w:p w14:paraId="14CF383C">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9、甲方有权对乙方保洁员工资、福利、保险、工器具的发放和配备进行监督检查。。</w:t>
      </w:r>
    </w:p>
    <w:p w14:paraId="0F789AC7">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r>
        <w:rPr>
          <w:rFonts w:hint="eastAsia"/>
          <w:b/>
          <w:bCs/>
          <w:highlight w:val="none"/>
        </w:rPr>
        <w:t>八、乙方的权利和义务</w:t>
      </w:r>
    </w:p>
    <w:p w14:paraId="49546949">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1、根据有关法律、法规及本合同的约定，在本合同签订后3日内制定相关物业管理方案及标准，报送甲方审批。如甲方对物业管理制度及标准有异议，乙方应按甲方要求进行修改。</w:t>
      </w:r>
    </w:p>
    <w:p w14:paraId="6EA7813B">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 xml:space="preserve">2、乙方应按照合同约定严格履行目标管理，遵守甲方制定的相关管理规定及规章制度，保质保量完成本合同范围内的各项物业委托管理工作。 </w:t>
      </w:r>
    </w:p>
    <w:p w14:paraId="04D8B8F8">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3、接受甲方检查、监督、考核并进行有效的改进。</w:t>
      </w:r>
    </w:p>
    <w:p w14:paraId="29D95F6D">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4、对违反公司法规、规章的行为，提请甲方有关部门处理，且乙方有权针对具体行为并根据情节轻重，采取批评、规劝、警告、制止等措施。</w:t>
      </w:r>
    </w:p>
    <w:p w14:paraId="7D34AF45">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5、乙方及乙方的工作人员应在工作中爱护甲方的设施和设备，有责任节水节电，保护环境，人为损坏和有意浪费的一经查实照价赔偿。乙方工作人员在履行本合同过程中的一切行为将被视作乙方行为，由乙方承担责任。</w:t>
      </w:r>
    </w:p>
    <w:p w14:paraId="76162BE0">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6、管理用房仅用于日常办公及搁置机具，不得擅自占用、居住和改变使用功能，亦不得以任何方式提供给任何第三方使用，对区域内的公共设施不得擅自占用和改变使用功能，如有违反，甲方有权立即采取一切措施停止乙方对管理用房的使用。如确需改、扩建或完善配套项目时，将具体事项提交报告，由甲方审批方案同意后方可实施。</w:t>
      </w:r>
    </w:p>
    <w:p w14:paraId="393698A0">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7、乙方在履行本合同和实施合同约定的工作过程中，应维持公司设施、设备良好运行状态；如发现有损坏和故障情况，应及时报告甲方进行维修及更换。</w:t>
      </w:r>
    </w:p>
    <w:p w14:paraId="074C34F8">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8、乙方工作人员，统一着装并佩带胸牌；在工作中文明行为规范并使用文明用语，态度良好不得与游客争吵、斗殴。同时因乙方工作人员上述行为引发的一切人身、财产损失和法律责任，均由乙方自行承担。</w:t>
      </w:r>
    </w:p>
    <w:p w14:paraId="540B074F">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9、乙方必须为其自聘工作人员办理人身意外伤害保险和社会保险，加强工作人员安全生产教育管理，全年安全教育培训不少于12次。</w:t>
      </w:r>
    </w:p>
    <w:p w14:paraId="63A20C2A">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10、乙方应对工作人员进行相应的岗位培训。定期进行岗位知识、工作技能、应急预案和思想教育、学习、培训，全年业务培训工作不得少于12次。</w:t>
      </w:r>
    </w:p>
    <w:p w14:paraId="7D7FE780">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11、乙方必须遵循安全作业和文明作业的规定，在履行本合同的过程中，采取严格的安全防范措施。</w:t>
      </w:r>
    </w:p>
    <w:p w14:paraId="7468A951">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12、乙方必须满足区域保洁、工程维保、秩序维护工作需要，及时购买响应工具并配发到位。由甲方为乙方配发的物品其所有权归甲方，合同期满后甲方有权收回，乙方不予交接的，甲方有权扣除相关费用。</w:t>
      </w:r>
    </w:p>
    <w:p w14:paraId="1F87BFE2">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13、乙方应向甲方提供人员名册和网格化管理图，遇有人员变化时应及时变更，并向甲方提供备案。</w:t>
      </w:r>
      <w:r>
        <w:rPr>
          <w:rFonts w:hint="eastAsia"/>
          <w:highlight w:val="none"/>
        </w:rPr>
        <w:tab/>
      </w:r>
      <w:r>
        <w:rPr>
          <w:rFonts w:hint="eastAsia"/>
          <w:highlight w:val="none"/>
        </w:rPr>
        <w:tab/>
      </w:r>
    </w:p>
    <w:p w14:paraId="5029AE3C">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14、乙方须加强对工作人员的维稳管理，及时化解矛盾，不允许将解而未决的问题上交管委会，严禁出现人员上访现象。如因乙方原因，出现一个月有保洁员3人次投诉、上访现象，甲方将依据有关规定，对乙方进行重处。</w:t>
      </w:r>
    </w:p>
    <w:p w14:paraId="2E10B6E6">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r>
        <w:rPr>
          <w:rFonts w:hint="eastAsia"/>
          <w:b/>
          <w:bCs/>
          <w:highlight w:val="none"/>
          <w:lang w:val="en-US" w:eastAsia="zh-CN"/>
        </w:rPr>
        <w:t>九</w:t>
      </w:r>
      <w:r>
        <w:rPr>
          <w:rFonts w:hint="eastAsia"/>
          <w:b/>
          <w:bCs/>
          <w:highlight w:val="none"/>
        </w:rPr>
        <w:t>、安全责任</w:t>
      </w:r>
    </w:p>
    <w:p w14:paraId="223736F1">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1、乙方负责其工作人员等的人身、财产安全。若其工作人员发生安全事故，由乙方自行承担全部责任。</w:t>
      </w:r>
    </w:p>
    <w:p w14:paraId="01334774">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2、乙方在履行合同期间所发生的第三方人身、财产伤害，由乙方承担全部法律责任。若因此使甲方受到损失，甲方有权向乙方追偿，追偿范围包括但不限于违约金、律师费、诉讼费和赔偿金。</w:t>
      </w:r>
    </w:p>
    <w:p w14:paraId="44478283">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3、本合同期内，凡因乙方的违规操作或者疏于管理而导致的对区域内建筑物、管理用房、设施设备、植被等造成损毁或涉及人身伤害，由乙方承担所有赔偿责任。</w:t>
      </w:r>
    </w:p>
    <w:p w14:paraId="2FB8FF12">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r>
        <w:rPr>
          <w:rFonts w:hint="eastAsia"/>
          <w:b/>
          <w:bCs/>
          <w:highlight w:val="none"/>
          <w:lang w:val="en-US" w:eastAsia="zh-CN"/>
        </w:rPr>
        <w:t>十</w:t>
      </w:r>
      <w:r>
        <w:rPr>
          <w:rFonts w:hint="eastAsia"/>
          <w:b/>
          <w:bCs/>
          <w:highlight w:val="none"/>
        </w:rPr>
        <w:t>、违约责任</w:t>
      </w:r>
    </w:p>
    <w:p w14:paraId="15898EF7">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除法律规定或双方另有约定外，乙方违反本合同约定，不能完成本合同约定服务内容及质量的或未能达到物业服务标准，甲方有权要求乙方限期整改，逾期未整改或者整改三次后仍达不到甲方的需求，甲方有权解除、终止本合同。</w:t>
      </w:r>
    </w:p>
    <w:p w14:paraId="20E8FBE4">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2、因甲方行为违约导致乙方未能完成管理服务内容，乙方有权要求甲方在一定期限内解决，逾期不解决的，乙方有权终止本合同。</w:t>
      </w:r>
    </w:p>
    <w:p w14:paraId="32430B93">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3、因乙方违法、违规或与第三方争议导致牵连甲方导致商誉、经济损失的，乙方同意向甲方赔偿全部损失以及甲方为解决相关争议支付的各项费用，如律师费、差旅费、公证费、保全费、诉讼费等。</w:t>
      </w:r>
    </w:p>
    <w:p w14:paraId="5EDFAF1F">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4、若乙方所承包的物业管理区域因乙方管理原因受到上级部门批评或造成负面影响时，视为乙方违约，甲方根据情况，从当月审定的承包费用中扣除1.5%--10%作为违约金，造成严重影响时，甲方有权单方面解除合同，并赔偿因此给甲方造成的损失。</w:t>
      </w:r>
    </w:p>
    <w:p w14:paraId="0D17DC4E">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5、工作人员因不按安全操作规范作业而发生人身伤亡事故及其他损害时，视为乙方违约，甲方每次从</w:t>
      </w:r>
      <w:r>
        <w:rPr>
          <w:rFonts w:hint="eastAsia"/>
          <w:highlight w:val="none"/>
          <w:lang w:val="en-US" w:eastAsia="zh-CN"/>
        </w:rPr>
        <w:t>该季度</w:t>
      </w:r>
      <w:r>
        <w:rPr>
          <w:rFonts w:hint="eastAsia"/>
          <w:highlight w:val="none"/>
        </w:rPr>
        <w:t>承包费用中扣除10000元作为违约金。由此产生的一切责任与赔偿，与甲方无关。</w:t>
      </w:r>
    </w:p>
    <w:p w14:paraId="08964ED8">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6、除法律规定和双方另有约定外，任何一方违反本合同约定，均应向另一方赔偿因此而遭受的经济损失。</w:t>
      </w:r>
    </w:p>
    <w:p w14:paraId="4D835DC7">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r>
        <w:rPr>
          <w:rFonts w:hint="eastAsia"/>
          <w:b/>
          <w:bCs/>
          <w:highlight w:val="none"/>
        </w:rPr>
        <w:t>十</w:t>
      </w:r>
      <w:r>
        <w:rPr>
          <w:rFonts w:hint="eastAsia"/>
          <w:b/>
          <w:bCs/>
          <w:highlight w:val="none"/>
          <w:lang w:val="en-US" w:eastAsia="zh-CN"/>
        </w:rPr>
        <w:t>一</w:t>
      </w:r>
      <w:r>
        <w:rPr>
          <w:rFonts w:hint="eastAsia"/>
          <w:b/>
          <w:bCs/>
          <w:highlight w:val="none"/>
        </w:rPr>
        <w:t>、不可抗力事件处理</w:t>
      </w:r>
    </w:p>
    <w:p w14:paraId="1A9CD8A5">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18A42761">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2、本合同中的不可抗力指不能预见、不能避免并不能克服的客观情况。包括但不限于：自然灾害如地震、台风、洪水、火灾；政府行为、法律规定或其适用的变化或者其他任何无法预见、避免或者控制的事件。</w:t>
      </w:r>
    </w:p>
    <w:p w14:paraId="106D59BE">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r>
        <w:rPr>
          <w:rFonts w:hint="eastAsia"/>
          <w:b/>
          <w:bCs/>
          <w:highlight w:val="none"/>
        </w:rPr>
        <w:t>十</w:t>
      </w:r>
      <w:r>
        <w:rPr>
          <w:rFonts w:hint="eastAsia"/>
          <w:b/>
          <w:bCs/>
          <w:highlight w:val="none"/>
          <w:lang w:val="en-US" w:eastAsia="zh-CN"/>
        </w:rPr>
        <w:t>二</w:t>
      </w:r>
      <w:r>
        <w:rPr>
          <w:rFonts w:hint="eastAsia"/>
          <w:b/>
          <w:bCs/>
          <w:highlight w:val="none"/>
        </w:rPr>
        <w:t>、合同组成</w:t>
      </w:r>
    </w:p>
    <w:p w14:paraId="6BFDFF66">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1、成交通知书</w:t>
      </w:r>
    </w:p>
    <w:p w14:paraId="64E6D906">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2、合同文件</w:t>
      </w:r>
    </w:p>
    <w:p w14:paraId="2DD3FF4E">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3、国家相关规范及标准</w:t>
      </w:r>
    </w:p>
    <w:p w14:paraId="61C660B3">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4、磋商文件</w:t>
      </w:r>
    </w:p>
    <w:p w14:paraId="2CF30F9F">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5、响应文件</w:t>
      </w:r>
    </w:p>
    <w:p w14:paraId="4FBD5305">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r>
        <w:rPr>
          <w:rFonts w:hint="eastAsia"/>
          <w:b/>
          <w:bCs/>
          <w:highlight w:val="none"/>
        </w:rPr>
        <w:t>十</w:t>
      </w:r>
      <w:r>
        <w:rPr>
          <w:rFonts w:hint="eastAsia"/>
          <w:b/>
          <w:bCs/>
          <w:highlight w:val="none"/>
          <w:lang w:val="en-US" w:eastAsia="zh-CN"/>
        </w:rPr>
        <w:t>三</w:t>
      </w:r>
      <w:r>
        <w:rPr>
          <w:rFonts w:hint="eastAsia"/>
          <w:b/>
          <w:bCs/>
          <w:highlight w:val="none"/>
        </w:rPr>
        <w:t>、解决争议的方法</w:t>
      </w:r>
    </w:p>
    <w:p w14:paraId="0A1B5EB4">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凡因本合同引起的或与本合同有关的争议，双方应友好协商解决。协商不成时，双方均同意采用以下第（ 1 ）种争议解决方式：</w:t>
      </w:r>
    </w:p>
    <w:p w14:paraId="1D497379">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（1）甲、乙双方均同意向（甲方所在地人民法院）提起诉讼。</w:t>
      </w:r>
    </w:p>
    <w:p w14:paraId="2F902AB4">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（2）甲、乙双方均同意向（</w:t>
      </w:r>
      <w:r>
        <w:rPr>
          <w:rFonts w:hint="eastAsia"/>
          <w:highlight w:val="none"/>
        </w:rPr>
        <w:fldChar w:fldCharType="begin"/>
      </w:r>
      <w:r>
        <w:rPr>
          <w:rFonts w:hint="eastAsia"/>
          <w:highlight w:val="none"/>
        </w:rPr>
        <w:instrText xml:space="preserve"> HYPERLINK "http://www.baidu.com/s?wd=%E4%BB%B2%E8%A3%81%E5%A7%94%E5%91%98%E4%BC%9A&amp;tn=SE_PcZhidaonwhc_ngpagmjz&amp;rsv_dl=gh_pc_zhidao" \t "_blank" </w:instrText>
      </w:r>
      <w:r>
        <w:rPr>
          <w:rFonts w:hint="eastAsia"/>
          <w:highlight w:val="none"/>
        </w:rPr>
        <w:fldChar w:fldCharType="separate"/>
      </w:r>
      <w:r>
        <w:rPr>
          <w:rFonts w:hint="eastAsia"/>
          <w:highlight w:val="none"/>
        </w:rPr>
        <w:t>仲裁委员会</w:t>
      </w:r>
      <w:r>
        <w:rPr>
          <w:rFonts w:hint="eastAsia"/>
          <w:highlight w:val="none"/>
        </w:rPr>
        <w:fldChar w:fldCharType="end"/>
      </w:r>
      <w:r>
        <w:rPr>
          <w:rFonts w:hint="eastAsia"/>
          <w:highlight w:val="none"/>
        </w:rPr>
        <w:t>）提起仲裁。</w:t>
      </w:r>
    </w:p>
    <w:p w14:paraId="1F89D002">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b/>
          <w:bCs/>
          <w:highlight w:val="none"/>
        </w:rPr>
      </w:pPr>
      <w:r>
        <w:rPr>
          <w:rFonts w:hint="eastAsia"/>
          <w:b/>
          <w:bCs/>
          <w:highlight w:val="none"/>
        </w:rPr>
        <w:t>十</w:t>
      </w:r>
      <w:r>
        <w:rPr>
          <w:rFonts w:hint="eastAsia"/>
          <w:b/>
          <w:bCs/>
          <w:highlight w:val="none"/>
          <w:lang w:val="en-US" w:eastAsia="zh-CN"/>
        </w:rPr>
        <w:t>四</w:t>
      </w:r>
      <w:r>
        <w:rPr>
          <w:rFonts w:hint="eastAsia"/>
          <w:b/>
          <w:bCs/>
          <w:highlight w:val="none"/>
        </w:rPr>
        <w:t>、合同生效及其它</w:t>
      </w:r>
    </w:p>
    <w:p w14:paraId="7D270833">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1、合同未尽事宜、由甲、乙双方协商，作为合同补充，与原合同具有同等法律效力。</w:t>
      </w:r>
    </w:p>
    <w:p w14:paraId="209B7F40">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2、 本合同正本一式</w:t>
      </w:r>
      <w:r>
        <w:rPr>
          <w:rFonts w:hint="eastAsia"/>
          <w:highlight w:val="none"/>
          <w:u w:val="single"/>
        </w:rPr>
        <w:t xml:space="preserve">  </w:t>
      </w:r>
      <w:r>
        <w:rPr>
          <w:rFonts w:hint="eastAsia"/>
          <w:highlight w:val="none"/>
        </w:rPr>
        <w:t>份，甲方、乙方双方分别执</w:t>
      </w:r>
      <w:r>
        <w:rPr>
          <w:rFonts w:hint="eastAsia"/>
          <w:highlight w:val="none"/>
          <w:u w:val="single"/>
        </w:rPr>
        <w:t xml:space="preserve">  </w:t>
      </w:r>
      <w:r>
        <w:rPr>
          <w:rFonts w:hint="eastAsia"/>
          <w:highlight w:val="none"/>
        </w:rPr>
        <w:t>份，</w:t>
      </w:r>
      <w:r>
        <w:rPr>
          <w:rFonts w:hint="eastAsia"/>
          <w:highlight w:val="none"/>
          <w:u w:val="single"/>
        </w:rPr>
        <w:t xml:space="preserve">   </w:t>
      </w:r>
      <w:r>
        <w:rPr>
          <w:rFonts w:hint="eastAsia"/>
          <w:highlight w:val="none"/>
        </w:rPr>
        <w:t>备案</w:t>
      </w:r>
      <w:r>
        <w:rPr>
          <w:rFonts w:hint="eastAsia"/>
          <w:highlight w:val="none"/>
          <w:u w:val="single"/>
        </w:rPr>
        <w:t xml:space="preserve">  </w:t>
      </w:r>
      <w:r>
        <w:rPr>
          <w:rFonts w:hint="eastAsia"/>
          <w:highlight w:val="none"/>
        </w:rPr>
        <w:t>份。</w:t>
      </w:r>
    </w:p>
    <w:p w14:paraId="41211511">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3、合同经甲乙双方盖章、签字后生效，合同签订地点为</w:t>
      </w:r>
      <w:r>
        <w:rPr>
          <w:rFonts w:hint="eastAsia"/>
          <w:highlight w:val="none"/>
          <w:u w:val="single"/>
        </w:rPr>
        <w:t xml:space="preserve">   </w:t>
      </w:r>
      <w:r>
        <w:rPr>
          <w:rFonts w:hint="eastAsia"/>
          <w:highlight w:val="none"/>
        </w:rPr>
        <w:t>。</w:t>
      </w:r>
    </w:p>
    <w:p w14:paraId="0FF58B93">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ighlight w:val="none"/>
        </w:rPr>
      </w:pPr>
      <w:r>
        <w:rPr>
          <w:rFonts w:hint="eastAsia"/>
          <w:highlight w:val="none"/>
        </w:rPr>
        <w:t>4、生效时间：</w:t>
      </w:r>
      <w:r>
        <w:rPr>
          <w:rFonts w:hint="eastAsia"/>
          <w:i w:val="0"/>
          <w:iCs w:val="0"/>
          <w:highlight w:val="none"/>
          <w:u w:val="single"/>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w:t>
      </w:r>
    </w:p>
    <w:p w14:paraId="270AA66B">
      <w:pPr>
        <w:pStyle w:val="8"/>
        <w:rPr>
          <w:rFonts w:hint="eastAsia"/>
          <w:highlight w:val="none"/>
        </w:rPr>
      </w:pPr>
    </w:p>
    <w:tbl>
      <w:tblPr>
        <w:tblStyle w:val="4"/>
        <w:tblW w:w="0" w:type="auto"/>
        <w:jc w:val="center"/>
        <w:tblLayout w:type="fixed"/>
        <w:tblCellMar>
          <w:top w:w="0" w:type="dxa"/>
          <w:left w:w="108" w:type="dxa"/>
          <w:bottom w:w="0" w:type="dxa"/>
          <w:right w:w="108" w:type="dxa"/>
        </w:tblCellMar>
      </w:tblPr>
      <w:tblGrid>
        <w:gridCol w:w="4643"/>
        <w:gridCol w:w="4643"/>
      </w:tblGrid>
      <w:tr w14:paraId="7A93E734">
        <w:tblPrEx>
          <w:tblCellMar>
            <w:top w:w="0" w:type="dxa"/>
            <w:left w:w="108" w:type="dxa"/>
            <w:bottom w:w="0" w:type="dxa"/>
            <w:right w:w="108" w:type="dxa"/>
          </w:tblCellMar>
        </w:tblPrEx>
        <w:trPr>
          <w:jc w:val="center"/>
        </w:trPr>
        <w:tc>
          <w:tcPr>
            <w:tcW w:w="4643" w:type="dxa"/>
            <w:noWrap w:val="0"/>
            <w:vAlign w:val="top"/>
          </w:tcPr>
          <w:p w14:paraId="050A74FC">
            <w:pPr>
              <w:pStyle w:val="8"/>
              <w:rPr>
                <w:rFonts w:hint="eastAsia"/>
                <w:highlight w:val="none"/>
              </w:rPr>
            </w:pPr>
            <w:r>
              <w:rPr>
                <w:rFonts w:hint="eastAsia"/>
                <w:highlight w:val="none"/>
              </w:rPr>
              <w:t>甲方名称（盖章）:</w:t>
            </w:r>
          </w:p>
          <w:p w14:paraId="0D3102A9">
            <w:pPr>
              <w:pStyle w:val="8"/>
              <w:rPr>
                <w:rFonts w:hint="eastAsia"/>
                <w:highlight w:val="none"/>
              </w:rPr>
            </w:pPr>
            <w:r>
              <w:rPr>
                <w:rFonts w:hint="eastAsia"/>
                <w:highlight w:val="none"/>
              </w:rPr>
              <w:t>地址：</w:t>
            </w:r>
          </w:p>
          <w:p w14:paraId="4AC30C0D">
            <w:pPr>
              <w:pStyle w:val="8"/>
              <w:rPr>
                <w:rFonts w:hint="eastAsia"/>
                <w:highlight w:val="none"/>
              </w:rPr>
            </w:pPr>
            <w:r>
              <w:rPr>
                <w:rFonts w:hint="eastAsia"/>
                <w:highlight w:val="none"/>
              </w:rPr>
              <w:t>代表人（签字）：</w:t>
            </w:r>
          </w:p>
          <w:p w14:paraId="5BC45B5F">
            <w:pPr>
              <w:pStyle w:val="8"/>
              <w:rPr>
                <w:rFonts w:hint="eastAsia"/>
                <w:highlight w:val="none"/>
              </w:rPr>
            </w:pPr>
            <w:r>
              <w:rPr>
                <w:rFonts w:hint="eastAsia"/>
                <w:highlight w:val="none"/>
              </w:rPr>
              <w:t>电话：</w:t>
            </w:r>
          </w:p>
          <w:p w14:paraId="026B9088">
            <w:pPr>
              <w:pStyle w:val="8"/>
              <w:rPr>
                <w:rFonts w:hint="eastAsia"/>
                <w:highlight w:val="none"/>
              </w:rPr>
            </w:pPr>
            <w:r>
              <w:rPr>
                <w:rFonts w:hint="eastAsia"/>
                <w:highlight w:val="none"/>
              </w:rPr>
              <w:t>开户银行：</w:t>
            </w:r>
          </w:p>
          <w:p w14:paraId="509A9A98">
            <w:pPr>
              <w:pStyle w:val="8"/>
              <w:rPr>
                <w:rFonts w:hint="eastAsia"/>
                <w:highlight w:val="none"/>
              </w:rPr>
            </w:pPr>
            <w:r>
              <w:rPr>
                <w:rFonts w:hint="eastAsia"/>
                <w:highlight w:val="none"/>
              </w:rPr>
              <w:t>帐号：</w:t>
            </w:r>
          </w:p>
        </w:tc>
        <w:tc>
          <w:tcPr>
            <w:tcW w:w="4643" w:type="dxa"/>
            <w:noWrap w:val="0"/>
            <w:vAlign w:val="top"/>
          </w:tcPr>
          <w:p w14:paraId="714C3358">
            <w:pPr>
              <w:pStyle w:val="8"/>
              <w:rPr>
                <w:rFonts w:hint="eastAsia"/>
                <w:highlight w:val="none"/>
              </w:rPr>
            </w:pPr>
            <w:r>
              <w:rPr>
                <w:rFonts w:hint="eastAsia"/>
                <w:highlight w:val="none"/>
              </w:rPr>
              <w:t>乙方名称（盖章）:</w:t>
            </w:r>
          </w:p>
          <w:p w14:paraId="2D174BB1">
            <w:pPr>
              <w:pStyle w:val="8"/>
              <w:rPr>
                <w:rFonts w:hint="eastAsia"/>
                <w:highlight w:val="none"/>
              </w:rPr>
            </w:pPr>
            <w:r>
              <w:rPr>
                <w:rFonts w:hint="eastAsia"/>
                <w:highlight w:val="none"/>
              </w:rPr>
              <w:t>地址：</w:t>
            </w:r>
          </w:p>
          <w:p w14:paraId="6BFC01D5">
            <w:pPr>
              <w:pStyle w:val="8"/>
              <w:rPr>
                <w:rFonts w:hint="eastAsia"/>
                <w:highlight w:val="none"/>
              </w:rPr>
            </w:pPr>
            <w:r>
              <w:rPr>
                <w:rFonts w:hint="eastAsia"/>
                <w:highlight w:val="none"/>
              </w:rPr>
              <w:t>代表人（签字）：</w:t>
            </w:r>
          </w:p>
          <w:p w14:paraId="5A7F3DBC">
            <w:pPr>
              <w:pStyle w:val="8"/>
              <w:rPr>
                <w:rFonts w:hint="eastAsia"/>
                <w:highlight w:val="none"/>
              </w:rPr>
            </w:pPr>
            <w:r>
              <w:rPr>
                <w:rFonts w:hint="eastAsia"/>
                <w:highlight w:val="none"/>
              </w:rPr>
              <w:t>电话：</w:t>
            </w:r>
          </w:p>
          <w:p w14:paraId="2816D88F">
            <w:pPr>
              <w:pStyle w:val="8"/>
              <w:rPr>
                <w:rFonts w:hint="eastAsia"/>
                <w:highlight w:val="none"/>
              </w:rPr>
            </w:pPr>
            <w:r>
              <w:rPr>
                <w:rFonts w:hint="eastAsia"/>
                <w:highlight w:val="none"/>
              </w:rPr>
              <w:t>开户银行：</w:t>
            </w:r>
          </w:p>
          <w:p w14:paraId="5B5F6B2F">
            <w:pPr>
              <w:pStyle w:val="8"/>
              <w:rPr>
                <w:rFonts w:hint="eastAsia"/>
                <w:highlight w:val="none"/>
              </w:rPr>
            </w:pPr>
            <w:r>
              <w:rPr>
                <w:rFonts w:hint="eastAsia"/>
                <w:highlight w:val="none"/>
              </w:rPr>
              <w:t xml:space="preserve">帐号：   </w:t>
            </w:r>
          </w:p>
          <w:p w14:paraId="3CCC919E">
            <w:pPr>
              <w:pStyle w:val="8"/>
              <w:rPr>
                <w:rFonts w:hint="eastAsia"/>
                <w:highlight w:val="none"/>
              </w:rPr>
            </w:pPr>
          </w:p>
        </w:tc>
      </w:tr>
    </w:tbl>
    <w:p w14:paraId="267A7684">
      <w:pPr>
        <w:pStyle w:val="8"/>
        <w:rPr>
          <w:rFonts w:hint="eastAsia"/>
          <w:highlight w:val="none"/>
        </w:rPr>
      </w:pPr>
    </w:p>
    <w:p w14:paraId="65FDE30A">
      <w:pPr>
        <w:pStyle w:val="8"/>
        <w:rPr>
          <w:rFonts w:hint="eastAsia"/>
          <w:highlight w:val="none"/>
        </w:rPr>
      </w:pPr>
    </w:p>
    <w:p w14:paraId="48DB7B17">
      <w:pPr>
        <w:pStyle w:val="8"/>
        <w:rPr>
          <w:rFonts w:hint="eastAsia"/>
          <w:highlight w:val="none"/>
        </w:rPr>
      </w:pPr>
    </w:p>
    <w:p w14:paraId="23765AEB">
      <w:pPr>
        <w:pStyle w:val="8"/>
        <w:rPr>
          <w:highlight w:val="none"/>
        </w:rPr>
      </w:pPr>
    </w:p>
    <w:p w14:paraId="27FB04AC">
      <w:pPr>
        <w:pStyle w:val="8"/>
        <w:rPr>
          <w:highlight w:val="none"/>
          <w:lang w:val="zh-CN"/>
        </w:rPr>
      </w:pPr>
    </w:p>
    <w:p w14:paraId="024C7CDF">
      <w:pPr>
        <w:pStyle w:val="8"/>
        <w:rPr>
          <w:highlight w:val="none"/>
        </w:rPr>
      </w:pPr>
      <w:r>
        <w:rPr>
          <w:highlight w:val="none"/>
          <w:lang w:val="zh-CN"/>
        </w:rPr>
        <w:br w:type="page"/>
      </w:r>
    </w:p>
    <w:p w14:paraId="5A8687C4">
      <w:pPr>
        <w:pStyle w:val="8"/>
        <w:rPr>
          <w:rFonts w:hint="eastAsia" w:ascii="宋体" w:hAnsi="宋体" w:eastAsia="宋体" w:cs="宋体"/>
          <w:sz w:val="20"/>
          <w:szCs w:val="20"/>
          <w:highlight w:val="none"/>
          <w:lang w:eastAsia="zh-CN"/>
        </w:rPr>
      </w:pPr>
      <w:r>
        <w:rPr>
          <w:rFonts w:hint="eastAsia" w:ascii="宋体" w:hAnsi="宋体" w:eastAsia="宋体" w:cs="宋体"/>
          <w:b/>
          <w:kern w:val="0"/>
          <w:sz w:val="20"/>
          <w:szCs w:val="20"/>
          <w:highlight w:val="none"/>
        </w:rPr>
        <w:t>附件：</w:t>
      </w:r>
      <w:r>
        <w:rPr>
          <w:rFonts w:hint="eastAsia" w:ascii="宋体" w:hAnsi="宋体" w:eastAsia="宋体" w:cs="宋体"/>
          <w:b/>
          <w:kern w:val="0"/>
          <w:sz w:val="20"/>
          <w:szCs w:val="20"/>
          <w:highlight w:val="none"/>
          <w:lang w:val="en-US" w:eastAsia="zh-CN"/>
        </w:rPr>
        <w:t>物业</w:t>
      </w:r>
      <w:r>
        <w:rPr>
          <w:rFonts w:hint="eastAsia" w:ascii="宋体" w:hAnsi="宋体" w:eastAsia="宋体" w:cs="宋体"/>
          <w:b/>
          <w:kern w:val="0"/>
          <w:sz w:val="20"/>
          <w:szCs w:val="20"/>
          <w:highlight w:val="none"/>
        </w:rPr>
        <w:t>服务考核表</w:t>
      </w:r>
    </w:p>
    <w:p w14:paraId="15B1AFF3">
      <w:pPr>
        <w:pStyle w:val="8"/>
        <w:rPr>
          <w:rFonts w:hint="default"/>
          <w:highlight w:val="none"/>
          <w:lang w:eastAsia="zh-CN"/>
        </w:rPr>
      </w:pPr>
    </w:p>
    <w:tbl>
      <w:tblPr>
        <w:tblStyle w:val="4"/>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20"/>
        <w:gridCol w:w="1333"/>
        <w:gridCol w:w="4219"/>
        <w:gridCol w:w="2282"/>
        <w:gridCol w:w="863"/>
        <w:gridCol w:w="848"/>
      </w:tblGrid>
      <w:tr w14:paraId="3790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shd w:val="clear" w:color="auto" w:fill="E6E6E6"/>
            <w:vAlign w:val="center"/>
          </w:tcPr>
          <w:p w14:paraId="111D7541">
            <w:pPr>
              <w:widowControl/>
              <w:adjustRightInd w:val="0"/>
              <w:snapToGrid w:val="0"/>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序号</w:t>
            </w:r>
          </w:p>
        </w:tc>
        <w:tc>
          <w:tcPr>
            <w:tcW w:w="1353" w:type="dxa"/>
            <w:gridSpan w:val="2"/>
            <w:shd w:val="clear" w:color="auto" w:fill="E6E6E6"/>
            <w:vAlign w:val="center"/>
          </w:tcPr>
          <w:p w14:paraId="47B2394E">
            <w:pPr>
              <w:widowControl/>
              <w:adjustRightInd w:val="0"/>
              <w:snapToGrid w:val="0"/>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项目</w:t>
            </w:r>
          </w:p>
        </w:tc>
        <w:tc>
          <w:tcPr>
            <w:tcW w:w="6501" w:type="dxa"/>
            <w:gridSpan w:val="2"/>
            <w:shd w:val="clear" w:color="auto" w:fill="E6E6E6"/>
            <w:vAlign w:val="center"/>
          </w:tcPr>
          <w:p w14:paraId="12C45595">
            <w:pPr>
              <w:widowControl/>
              <w:adjustRightInd w:val="0"/>
              <w:snapToGrid w:val="0"/>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考核内容</w:t>
            </w:r>
          </w:p>
        </w:tc>
        <w:tc>
          <w:tcPr>
            <w:tcW w:w="863" w:type="dxa"/>
            <w:shd w:val="clear" w:color="auto" w:fill="E6E6E6"/>
            <w:vAlign w:val="center"/>
          </w:tcPr>
          <w:p w14:paraId="594A5252">
            <w:pPr>
              <w:widowControl/>
              <w:adjustRightInd w:val="0"/>
              <w:snapToGrid w:val="0"/>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分值</w:t>
            </w:r>
          </w:p>
        </w:tc>
        <w:tc>
          <w:tcPr>
            <w:tcW w:w="848" w:type="dxa"/>
            <w:shd w:val="clear" w:color="auto" w:fill="E6E6E6"/>
            <w:vAlign w:val="center"/>
          </w:tcPr>
          <w:p w14:paraId="1CED06ED">
            <w:pPr>
              <w:widowControl/>
              <w:adjustRightInd w:val="0"/>
              <w:snapToGrid w:val="0"/>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得分</w:t>
            </w:r>
          </w:p>
        </w:tc>
      </w:tr>
      <w:tr w14:paraId="6674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jc w:val="center"/>
        </w:trPr>
        <w:tc>
          <w:tcPr>
            <w:tcW w:w="714" w:type="dxa"/>
            <w:vAlign w:val="center"/>
          </w:tcPr>
          <w:p w14:paraId="222C6390">
            <w:pPr>
              <w:widowControl/>
              <w:adjustRightInd w:val="0"/>
              <w:snapToGrid w:val="0"/>
              <w:spacing w:line="300" w:lineRule="exact"/>
              <w:ind w:left="-14" w:leftChars="-36" w:hanging="62" w:hangingChars="31"/>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1</w:t>
            </w:r>
          </w:p>
        </w:tc>
        <w:tc>
          <w:tcPr>
            <w:tcW w:w="1353" w:type="dxa"/>
            <w:gridSpan w:val="2"/>
            <w:vAlign w:val="center"/>
          </w:tcPr>
          <w:p w14:paraId="513B4F2B">
            <w:pPr>
              <w:widowControl/>
              <w:adjustRightInd w:val="0"/>
              <w:snapToGrid w:val="0"/>
              <w:ind w:left="-14" w:leftChars="-36" w:hanging="62" w:hangingChars="31"/>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制度措施情况</w:t>
            </w:r>
          </w:p>
          <w:p w14:paraId="11FD059F">
            <w:pPr>
              <w:widowControl/>
              <w:adjustRightInd w:val="0"/>
              <w:snapToGrid w:val="0"/>
              <w:ind w:left="-14" w:leftChars="-36" w:hanging="62" w:hangingChars="31"/>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（10分）</w:t>
            </w:r>
          </w:p>
        </w:tc>
        <w:tc>
          <w:tcPr>
            <w:tcW w:w="6501" w:type="dxa"/>
            <w:gridSpan w:val="2"/>
            <w:vAlign w:val="center"/>
          </w:tcPr>
          <w:p w14:paraId="52BDC6E8">
            <w:pPr>
              <w:widowControl/>
              <w:adjustRightInd w:val="0"/>
              <w:snapToGrid w:val="0"/>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制度措施完善，修订、修改制度及时，制度措施落实到位。</w:t>
            </w:r>
          </w:p>
        </w:tc>
        <w:tc>
          <w:tcPr>
            <w:tcW w:w="863" w:type="dxa"/>
            <w:vAlign w:val="center"/>
          </w:tcPr>
          <w:p w14:paraId="103D8792">
            <w:pPr>
              <w:widowControl/>
              <w:adjustRightInd w:val="0"/>
              <w:snapToGrid w:val="0"/>
              <w:jc w:val="center"/>
              <w:rPr>
                <w:rFonts w:hint="eastAsia" w:ascii="宋体" w:hAnsi="宋体" w:eastAsia="宋体" w:cs="宋体"/>
                <w:b/>
                <w:bCs/>
                <w:sz w:val="20"/>
                <w:szCs w:val="20"/>
                <w:highlight w:val="none"/>
              </w:rPr>
            </w:pPr>
            <w:r>
              <w:rPr>
                <w:rFonts w:hint="eastAsia" w:ascii="宋体" w:hAnsi="宋体" w:eastAsia="宋体" w:cs="宋体"/>
                <w:sz w:val="20"/>
                <w:szCs w:val="20"/>
                <w:highlight w:val="none"/>
              </w:rPr>
              <w:t>10分</w:t>
            </w:r>
          </w:p>
        </w:tc>
        <w:tc>
          <w:tcPr>
            <w:tcW w:w="848" w:type="dxa"/>
            <w:vAlign w:val="center"/>
          </w:tcPr>
          <w:p w14:paraId="691677BB">
            <w:pPr>
              <w:widowControl/>
              <w:adjustRightInd w:val="0"/>
              <w:snapToGrid w:val="0"/>
              <w:jc w:val="center"/>
              <w:rPr>
                <w:rFonts w:hint="eastAsia" w:ascii="宋体" w:hAnsi="宋体" w:eastAsia="宋体" w:cs="宋体"/>
                <w:b/>
                <w:bCs/>
                <w:sz w:val="20"/>
                <w:szCs w:val="20"/>
                <w:highlight w:val="none"/>
              </w:rPr>
            </w:pPr>
          </w:p>
        </w:tc>
      </w:tr>
      <w:tr w14:paraId="70096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jc w:val="center"/>
        </w:trPr>
        <w:tc>
          <w:tcPr>
            <w:tcW w:w="714" w:type="dxa"/>
            <w:vMerge w:val="restart"/>
            <w:vAlign w:val="center"/>
          </w:tcPr>
          <w:p w14:paraId="3D7E6E55">
            <w:pPr>
              <w:widowControl/>
              <w:adjustRightInd w:val="0"/>
              <w:snapToGrid w:val="0"/>
              <w:spacing w:line="300" w:lineRule="exa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c>
          <w:tcPr>
            <w:tcW w:w="1353" w:type="dxa"/>
            <w:gridSpan w:val="2"/>
            <w:vMerge w:val="restart"/>
            <w:vAlign w:val="center"/>
          </w:tcPr>
          <w:p w14:paraId="3E6C9717">
            <w:pPr>
              <w:widowControl/>
              <w:adjustRightInd w:val="0"/>
              <w:snapToGrid w:val="0"/>
              <w:ind w:left="-14" w:leftChars="-36" w:hanging="62" w:hangingChars="31"/>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食品卫生安全情况</w:t>
            </w:r>
          </w:p>
          <w:p w14:paraId="6789D477">
            <w:pPr>
              <w:widowControl/>
              <w:adjustRightInd w:val="0"/>
              <w:snapToGrid w:val="0"/>
              <w:ind w:left="-14" w:leftChars="-36" w:hanging="62" w:hangingChars="31"/>
              <w:jc w:val="center"/>
              <w:rPr>
                <w:rFonts w:hint="eastAsia" w:ascii="宋体" w:hAnsi="宋体" w:eastAsia="宋体" w:cs="宋体"/>
                <w:sz w:val="20"/>
                <w:szCs w:val="20"/>
                <w:highlight w:val="none"/>
              </w:rPr>
            </w:pPr>
            <w:r>
              <w:rPr>
                <w:rFonts w:hint="eastAsia" w:ascii="宋体" w:hAnsi="宋体" w:eastAsia="宋体" w:cs="宋体"/>
                <w:b/>
                <w:bCs/>
                <w:sz w:val="20"/>
                <w:szCs w:val="20"/>
                <w:highlight w:val="none"/>
              </w:rPr>
              <w:t>（</w:t>
            </w:r>
            <w:r>
              <w:rPr>
                <w:rFonts w:hint="eastAsia" w:ascii="宋体" w:hAnsi="宋体" w:eastAsia="宋体" w:cs="宋体"/>
                <w:b/>
                <w:bCs/>
                <w:sz w:val="20"/>
                <w:szCs w:val="20"/>
                <w:highlight w:val="none"/>
                <w:lang w:val="en-US" w:eastAsia="zh-CN"/>
              </w:rPr>
              <w:t>45</w:t>
            </w:r>
            <w:r>
              <w:rPr>
                <w:rFonts w:hint="eastAsia" w:ascii="宋体" w:hAnsi="宋体" w:eastAsia="宋体" w:cs="宋体"/>
                <w:b/>
                <w:bCs/>
                <w:sz w:val="20"/>
                <w:szCs w:val="20"/>
                <w:highlight w:val="none"/>
              </w:rPr>
              <w:t>分）</w:t>
            </w:r>
          </w:p>
        </w:tc>
        <w:tc>
          <w:tcPr>
            <w:tcW w:w="6501" w:type="dxa"/>
            <w:gridSpan w:val="2"/>
            <w:vAlign w:val="center"/>
          </w:tcPr>
          <w:p w14:paraId="271D2F11">
            <w:pPr>
              <w:widowControl/>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禁止购买熟食，违反《食品安全法》，造成伤害和食物中毒的，由中标人负责全部医疗费用，并承担由此造成的民事、刑事责任及经济赔偿责任。</w:t>
            </w:r>
          </w:p>
        </w:tc>
        <w:tc>
          <w:tcPr>
            <w:tcW w:w="863" w:type="dxa"/>
            <w:vAlign w:val="center"/>
          </w:tcPr>
          <w:p w14:paraId="469BA65C">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5分</w:t>
            </w:r>
          </w:p>
        </w:tc>
        <w:tc>
          <w:tcPr>
            <w:tcW w:w="848" w:type="dxa"/>
            <w:vAlign w:val="center"/>
          </w:tcPr>
          <w:p w14:paraId="7310EE14">
            <w:pPr>
              <w:widowControl/>
              <w:adjustRightInd w:val="0"/>
              <w:snapToGrid w:val="0"/>
              <w:jc w:val="center"/>
              <w:rPr>
                <w:rFonts w:hint="eastAsia" w:ascii="宋体" w:hAnsi="宋体" w:eastAsia="宋体" w:cs="宋体"/>
                <w:sz w:val="20"/>
                <w:szCs w:val="20"/>
                <w:highlight w:val="none"/>
              </w:rPr>
            </w:pPr>
          </w:p>
        </w:tc>
      </w:tr>
      <w:tr w14:paraId="5785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jc w:val="center"/>
        </w:trPr>
        <w:tc>
          <w:tcPr>
            <w:tcW w:w="714" w:type="dxa"/>
            <w:vMerge w:val="continue"/>
            <w:vAlign w:val="center"/>
          </w:tcPr>
          <w:p w14:paraId="44F515A7">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5D169851">
            <w:pPr>
              <w:widowControl/>
              <w:adjustRightInd w:val="0"/>
              <w:snapToGrid w:val="0"/>
              <w:ind w:left="-20" w:leftChars="-57" w:hanging="100" w:hangingChars="50"/>
              <w:jc w:val="center"/>
              <w:rPr>
                <w:rFonts w:hint="eastAsia" w:ascii="宋体" w:hAnsi="宋体" w:eastAsia="宋体" w:cs="宋体"/>
                <w:sz w:val="20"/>
                <w:szCs w:val="20"/>
                <w:highlight w:val="none"/>
              </w:rPr>
            </w:pPr>
          </w:p>
        </w:tc>
        <w:tc>
          <w:tcPr>
            <w:tcW w:w="6501" w:type="dxa"/>
            <w:gridSpan w:val="2"/>
            <w:vAlign w:val="center"/>
          </w:tcPr>
          <w:p w14:paraId="4382BD06">
            <w:pPr>
              <w:widowControl/>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食材新鲜，不得使用腐烂、变质、过保质期食材。操作间、存储间空间不得出现虫类、鼠类等痕迹。食品加工环节、制作环节、售饭环节卫生、规范、安全，禁止使用违禁食品添加剂。</w:t>
            </w:r>
          </w:p>
        </w:tc>
        <w:tc>
          <w:tcPr>
            <w:tcW w:w="863" w:type="dxa"/>
            <w:vAlign w:val="center"/>
          </w:tcPr>
          <w:p w14:paraId="30CF20B4">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5分</w:t>
            </w:r>
          </w:p>
        </w:tc>
        <w:tc>
          <w:tcPr>
            <w:tcW w:w="848" w:type="dxa"/>
            <w:vAlign w:val="center"/>
          </w:tcPr>
          <w:p w14:paraId="64EB4ED9">
            <w:pPr>
              <w:widowControl/>
              <w:adjustRightInd w:val="0"/>
              <w:snapToGrid w:val="0"/>
              <w:jc w:val="center"/>
              <w:rPr>
                <w:rFonts w:hint="eastAsia" w:ascii="宋体" w:hAnsi="宋体" w:eastAsia="宋体" w:cs="宋体"/>
                <w:sz w:val="20"/>
                <w:szCs w:val="20"/>
                <w:highlight w:val="none"/>
              </w:rPr>
            </w:pPr>
          </w:p>
        </w:tc>
      </w:tr>
      <w:tr w14:paraId="1E2FA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jc w:val="center"/>
        </w:trPr>
        <w:tc>
          <w:tcPr>
            <w:tcW w:w="714" w:type="dxa"/>
            <w:vMerge w:val="continue"/>
            <w:vAlign w:val="center"/>
          </w:tcPr>
          <w:p w14:paraId="754566DE">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6AD0BFB7">
            <w:pPr>
              <w:widowControl/>
              <w:adjustRightInd w:val="0"/>
              <w:snapToGrid w:val="0"/>
              <w:ind w:left="-20" w:leftChars="-57" w:hanging="100" w:hangingChars="50"/>
              <w:jc w:val="center"/>
              <w:rPr>
                <w:rFonts w:hint="eastAsia" w:ascii="宋体" w:hAnsi="宋体" w:eastAsia="宋体" w:cs="宋体"/>
                <w:sz w:val="20"/>
                <w:szCs w:val="20"/>
                <w:highlight w:val="none"/>
              </w:rPr>
            </w:pPr>
          </w:p>
        </w:tc>
        <w:tc>
          <w:tcPr>
            <w:tcW w:w="6501" w:type="dxa"/>
            <w:gridSpan w:val="2"/>
            <w:vAlign w:val="center"/>
          </w:tcPr>
          <w:p w14:paraId="1D82EC0F">
            <w:pPr>
              <w:widowControl/>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餐具要提前洗净和消毒,必须符合食品卫生安全要求。有热度、无水珠，无异味、霉斑。餐具消毒记录完整、规范。</w:t>
            </w:r>
          </w:p>
        </w:tc>
        <w:tc>
          <w:tcPr>
            <w:tcW w:w="863" w:type="dxa"/>
            <w:vAlign w:val="center"/>
          </w:tcPr>
          <w:p w14:paraId="1C049DA4">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5分</w:t>
            </w:r>
          </w:p>
        </w:tc>
        <w:tc>
          <w:tcPr>
            <w:tcW w:w="848" w:type="dxa"/>
            <w:vAlign w:val="center"/>
          </w:tcPr>
          <w:p w14:paraId="7788E802">
            <w:pPr>
              <w:widowControl/>
              <w:adjustRightInd w:val="0"/>
              <w:snapToGrid w:val="0"/>
              <w:jc w:val="center"/>
              <w:rPr>
                <w:rFonts w:hint="eastAsia" w:ascii="宋体" w:hAnsi="宋体" w:eastAsia="宋体" w:cs="宋体"/>
                <w:sz w:val="20"/>
                <w:szCs w:val="20"/>
                <w:highlight w:val="none"/>
              </w:rPr>
            </w:pPr>
          </w:p>
        </w:tc>
      </w:tr>
      <w:tr w14:paraId="5C26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vMerge w:val="continue"/>
            <w:vAlign w:val="center"/>
          </w:tcPr>
          <w:p w14:paraId="5C9C5F63">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049F1710">
            <w:pPr>
              <w:widowControl/>
              <w:adjustRightInd w:val="0"/>
              <w:snapToGrid w:val="0"/>
              <w:ind w:left="-20" w:leftChars="-57" w:hanging="100" w:hangingChars="50"/>
              <w:jc w:val="center"/>
              <w:rPr>
                <w:rFonts w:hint="eastAsia" w:ascii="宋体" w:hAnsi="宋体" w:eastAsia="宋体" w:cs="宋体"/>
                <w:sz w:val="20"/>
                <w:szCs w:val="20"/>
                <w:highlight w:val="none"/>
              </w:rPr>
            </w:pPr>
          </w:p>
        </w:tc>
        <w:tc>
          <w:tcPr>
            <w:tcW w:w="6501" w:type="dxa"/>
            <w:gridSpan w:val="2"/>
            <w:vAlign w:val="center"/>
          </w:tcPr>
          <w:p w14:paraId="34192F56">
            <w:pPr>
              <w:widowControl/>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后厨荤类池和疏菜池要分开清洗，不允许洗其他物品。水池保持干净卫生。操作台等做饭器具台面不得出现油烟等痕迹。</w:t>
            </w:r>
          </w:p>
        </w:tc>
        <w:tc>
          <w:tcPr>
            <w:tcW w:w="863" w:type="dxa"/>
            <w:vAlign w:val="center"/>
          </w:tcPr>
          <w:p w14:paraId="7AFCA770">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5分</w:t>
            </w:r>
          </w:p>
        </w:tc>
        <w:tc>
          <w:tcPr>
            <w:tcW w:w="848" w:type="dxa"/>
            <w:vAlign w:val="center"/>
          </w:tcPr>
          <w:p w14:paraId="3C56F6CA">
            <w:pPr>
              <w:widowControl/>
              <w:adjustRightInd w:val="0"/>
              <w:snapToGrid w:val="0"/>
              <w:jc w:val="center"/>
              <w:rPr>
                <w:rFonts w:hint="eastAsia" w:ascii="宋体" w:hAnsi="宋体" w:eastAsia="宋体" w:cs="宋体"/>
                <w:sz w:val="20"/>
                <w:szCs w:val="20"/>
                <w:highlight w:val="none"/>
              </w:rPr>
            </w:pPr>
          </w:p>
        </w:tc>
      </w:tr>
      <w:tr w14:paraId="3E776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jc w:val="center"/>
        </w:trPr>
        <w:tc>
          <w:tcPr>
            <w:tcW w:w="714" w:type="dxa"/>
            <w:vMerge w:val="continue"/>
            <w:vAlign w:val="center"/>
          </w:tcPr>
          <w:p w14:paraId="28F3AA4B">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17447823">
            <w:pPr>
              <w:widowControl/>
              <w:adjustRightInd w:val="0"/>
              <w:snapToGrid w:val="0"/>
              <w:ind w:left="-20" w:leftChars="-57" w:hanging="100" w:hangingChars="50"/>
              <w:jc w:val="center"/>
              <w:rPr>
                <w:rFonts w:hint="eastAsia" w:ascii="宋体" w:hAnsi="宋体" w:eastAsia="宋体" w:cs="宋体"/>
                <w:sz w:val="20"/>
                <w:szCs w:val="20"/>
                <w:highlight w:val="none"/>
              </w:rPr>
            </w:pPr>
          </w:p>
        </w:tc>
        <w:tc>
          <w:tcPr>
            <w:tcW w:w="6501" w:type="dxa"/>
            <w:gridSpan w:val="2"/>
            <w:vAlign w:val="center"/>
          </w:tcPr>
          <w:p w14:paraId="590226CD">
            <w:pPr>
              <w:widowControl/>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下班后食品加盖保存、检查安全事项、填写检查记录、物品摆放整齐。生熟分开、生熟食品盛装器皿分开、生熟冰箱分开、食品不得混放。</w:t>
            </w:r>
          </w:p>
        </w:tc>
        <w:tc>
          <w:tcPr>
            <w:tcW w:w="863" w:type="dxa"/>
            <w:vAlign w:val="center"/>
          </w:tcPr>
          <w:p w14:paraId="0A25473B">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5分</w:t>
            </w:r>
          </w:p>
        </w:tc>
        <w:tc>
          <w:tcPr>
            <w:tcW w:w="848" w:type="dxa"/>
            <w:vAlign w:val="center"/>
          </w:tcPr>
          <w:p w14:paraId="29A8E906">
            <w:pPr>
              <w:widowControl/>
              <w:adjustRightInd w:val="0"/>
              <w:snapToGrid w:val="0"/>
              <w:jc w:val="center"/>
              <w:rPr>
                <w:rFonts w:hint="eastAsia" w:ascii="宋体" w:hAnsi="宋体" w:eastAsia="宋体" w:cs="宋体"/>
                <w:sz w:val="20"/>
                <w:szCs w:val="20"/>
                <w:highlight w:val="none"/>
              </w:rPr>
            </w:pPr>
          </w:p>
        </w:tc>
      </w:tr>
      <w:tr w14:paraId="444B7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vMerge w:val="continue"/>
            <w:vAlign w:val="center"/>
          </w:tcPr>
          <w:p w14:paraId="262C8D0C">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0643E77B">
            <w:pPr>
              <w:widowControl/>
              <w:adjustRightInd w:val="0"/>
              <w:snapToGrid w:val="0"/>
              <w:ind w:left="-20" w:leftChars="-57" w:hanging="100" w:hangingChars="50"/>
              <w:jc w:val="center"/>
              <w:rPr>
                <w:rFonts w:hint="eastAsia" w:ascii="宋体" w:hAnsi="宋体" w:eastAsia="宋体" w:cs="宋体"/>
                <w:sz w:val="20"/>
                <w:szCs w:val="20"/>
                <w:highlight w:val="none"/>
              </w:rPr>
            </w:pPr>
          </w:p>
        </w:tc>
        <w:tc>
          <w:tcPr>
            <w:tcW w:w="6501" w:type="dxa"/>
            <w:gridSpan w:val="2"/>
            <w:vAlign w:val="center"/>
          </w:tcPr>
          <w:p w14:paraId="115C0EDE">
            <w:pPr>
              <w:widowControl/>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员工个人服装干净整齐、要勤剪指甲、男员工头发要勤剪、女员上班时不许配戴戒指、项链。</w:t>
            </w:r>
          </w:p>
        </w:tc>
        <w:tc>
          <w:tcPr>
            <w:tcW w:w="863" w:type="dxa"/>
            <w:vAlign w:val="center"/>
          </w:tcPr>
          <w:p w14:paraId="29058289">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5分</w:t>
            </w:r>
          </w:p>
        </w:tc>
        <w:tc>
          <w:tcPr>
            <w:tcW w:w="848" w:type="dxa"/>
            <w:vAlign w:val="center"/>
          </w:tcPr>
          <w:p w14:paraId="33E69A0C">
            <w:pPr>
              <w:widowControl/>
              <w:adjustRightInd w:val="0"/>
              <w:snapToGrid w:val="0"/>
              <w:jc w:val="center"/>
              <w:rPr>
                <w:rFonts w:hint="eastAsia" w:ascii="宋体" w:hAnsi="宋体" w:eastAsia="宋体" w:cs="宋体"/>
                <w:sz w:val="20"/>
                <w:szCs w:val="20"/>
                <w:highlight w:val="none"/>
              </w:rPr>
            </w:pPr>
          </w:p>
        </w:tc>
      </w:tr>
      <w:tr w14:paraId="33C3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vMerge w:val="continue"/>
            <w:vAlign w:val="center"/>
          </w:tcPr>
          <w:p w14:paraId="2492BCB9">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4AE98EB0">
            <w:pPr>
              <w:widowControl/>
              <w:adjustRightInd w:val="0"/>
              <w:snapToGrid w:val="0"/>
              <w:ind w:left="-20" w:leftChars="-57" w:hanging="100" w:hangingChars="50"/>
              <w:jc w:val="center"/>
              <w:rPr>
                <w:rFonts w:hint="eastAsia" w:ascii="宋体" w:hAnsi="宋体" w:eastAsia="宋体" w:cs="宋体"/>
                <w:sz w:val="20"/>
                <w:szCs w:val="20"/>
                <w:highlight w:val="none"/>
              </w:rPr>
            </w:pPr>
          </w:p>
        </w:tc>
        <w:tc>
          <w:tcPr>
            <w:tcW w:w="6501" w:type="dxa"/>
            <w:gridSpan w:val="2"/>
            <w:vAlign w:val="center"/>
          </w:tcPr>
          <w:p w14:paraId="53F39A36">
            <w:pPr>
              <w:widowControl/>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饭菜不允许出现夹生、焦味、异味，不允许发现异物如沙子、虫、烟头、草绳、碎玻璃等。</w:t>
            </w:r>
          </w:p>
        </w:tc>
        <w:tc>
          <w:tcPr>
            <w:tcW w:w="863" w:type="dxa"/>
            <w:vAlign w:val="center"/>
          </w:tcPr>
          <w:p w14:paraId="76476150">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5分</w:t>
            </w:r>
          </w:p>
        </w:tc>
        <w:tc>
          <w:tcPr>
            <w:tcW w:w="848" w:type="dxa"/>
            <w:vAlign w:val="center"/>
          </w:tcPr>
          <w:p w14:paraId="510A1B22">
            <w:pPr>
              <w:widowControl/>
              <w:adjustRightInd w:val="0"/>
              <w:snapToGrid w:val="0"/>
              <w:jc w:val="center"/>
              <w:rPr>
                <w:rFonts w:hint="eastAsia" w:ascii="宋体" w:hAnsi="宋体" w:eastAsia="宋体" w:cs="宋体"/>
                <w:sz w:val="20"/>
                <w:szCs w:val="20"/>
                <w:highlight w:val="none"/>
              </w:rPr>
            </w:pPr>
          </w:p>
        </w:tc>
      </w:tr>
      <w:tr w14:paraId="09E1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vMerge w:val="continue"/>
            <w:vAlign w:val="center"/>
          </w:tcPr>
          <w:p w14:paraId="4108DF1C">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6AEE0526">
            <w:pPr>
              <w:widowControl/>
              <w:adjustRightInd w:val="0"/>
              <w:snapToGrid w:val="0"/>
              <w:ind w:left="-20" w:leftChars="-57" w:hanging="100" w:hangingChars="50"/>
              <w:jc w:val="center"/>
              <w:rPr>
                <w:rFonts w:hint="eastAsia" w:ascii="宋体" w:hAnsi="宋体" w:eastAsia="宋体" w:cs="宋体"/>
                <w:sz w:val="20"/>
                <w:szCs w:val="20"/>
                <w:highlight w:val="none"/>
              </w:rPr>
            </w:pPr>
          </w:p>
        </w:tc>
        <w:tc>
          <w:tcPr>
            <w:tcW w:w="6501" w:type="dxa"/>
            <w:gridSpan w:val="2"/>
            <w:vAlign w:val="center"/>
          </w:tcPr>
          <w:p w14:paraId="3B7919CD">
            <w:pPr>
              <w:widowControl/>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饭菜按规范留样(每个品种100克),留样记录完整。</w:t>
            </w:r>
          </w:p>
        </w:tc>
        <w:tc>
          <w:tcPr>
            <w:tcW w:w="863" w:type="dxa"/>
            <w:vAlign w:val="center"/>
          </w:tcPr>
          <w:p w14:paraId="1AF21B1C">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5分</w:t>
            </w:r>
          </w:p>
        </w:tc>
        <w:tc>
          <w:tcPr>
            <w:tcW w:w="848" w:type="dxa"/>
            <w:vAlign w:val="center"/>
          </w:tcPr>
          <w:p w14:paraId="1DDA8D22">
            <w:pPr>
              <w:widowControl/>
              <w:adjustRightInd w:val="0"/>
              <w:snapToGrid w:val="0"/>
              <w:jc w:val="center"/>
              <w:rPr>
                <w:rFonts w:hint="eastAsia" w:ascii="宋体" w:hAnsi="宋体" w:eastAsia="宋体" w:cs="宋体"/>
                <w:sz w:val="20"/>
                <w:szCs w:val="20"/>
                <w:highlight w:val="none"/>
              </w:rPr>
            </w:pPr>
          </w:p>
        </w:tc>
      </w:tr>
      <w:tr w14:paraId="2EBE1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vMerge w:val="continue"/>
            <w:vAlign w:val="center"/>
          </w:tcPr>
          <w:p w14:paraId="0492AB89">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3D191A01">
            <w:pPr>
              <w:widowControl/>
              <w:adjustRightInd w:val="0"/>
              <w:snapToGrid w:val="0"/>
              <w:ind w:left="-20" w:leftChars="-57" w:hanging="100" w:hangingChars="50"/>
              <w:jc w:val="center"/>
              <w:rPr>
                <w:rFonts w:hint="eastAsia" w:ascii="宋体" w:hAnsi="宋体" w:eastAsia="宋体" w:cs="宋体"/>
                <w:sz w:val="20"/>
                <w:szCs w:val="20"/>
                <w:highlight w:val="none"/>
              </w:rPr>
            </w:pPr>
          </w:p>
        </w:tc>
        <w:tc>
          <w:tcPr>
            <w:tcW w:w="6501" w:type="dxa"/>
            <w:gridSpan w:val="2"/>
            <w:vAlign w:val="center"/>
          </w:tcPr>
          <w:p w14:paraId="7736BE59">
            <w:pPr>
              <w:widowControl/>
              <w:adjustRightInd w:val="0"/>
              <w:snapToGrid w:val="0"/>
              <w:rPr>
                <w:rFonts w:hint="eastAsia" w:ascii="宋体" w:hAnsi="宋体" w:eastAsia="宋体" w:cs="宋体"/>
                <w:sz w:val="20"/>
                <w:szCs w:val="20"/>
                <w:highlight w:val="none"/>
              </w:rPr>
            </w:pPr>
            <w:r>
              <w:rPr>
                <w:rFonts w:hint="eastAsia" w:ascii="宋体" w:hAnsi="宋体" w:eastAsia="宋体" w:cs="宋体"/>
                <w:spacing w:val="-14"/>
                <w:sz w:val="20"/>
                <w:szCs w:val="20"/>
                <w:highlight w:val="none"/>
              </w:rPr>
              <w:t>操作间不得存放有毒有害危险物品，操作间内禁止吸烟，闲杂人员禁止进入操作间。</w:t>
            </w:r>
          </w:p>
        </w:tc>
        <w:tc>
          <w:tcPr>
            <w:tcW w:w="863" w:type="dxa"/>
            <w:vAlign w:val="center"/>
          </w:tcPr>
          <w:p w14:paraId="0D3E3A22">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5分</w:t>
            </w:r>
          </w:p>
        </w:tc>
        <w:tc>
          <w:tcPr>
            <w:tcW w:w="848" w:type="dxa"/>
            <w:vAlign w:val="center"/>
          </w:tcPr>
          <w:p w14:paraId="273B4803">
            <w:pPr>
              <w:widowControl/>
              <w:adjustRightInd w:val="0"/>
              <w:snapToGrid w:val="0"/>
              <w:jc w:val="center"/>
              <w:rPr>
                <w:rFonts w:hint="eastAsia" w:ascii="宋体" w:hAnsi="宋体" w:eastAsia="宋体" w:cs="宋体"/>
                <w:sz w:val="20"/>
                <w:szCs w:val="20"/>
                <w:highlight w:val="none"/>
              </w:rPr>
            </w:pPr>
          </w:p>
        </w:tc>
      </w:tr>
      <w:tr w14:paraId="2B90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vMerge w:val="restart"/>
            <w:vAlign w:val="center"/>
          </w:tcPr>
          <w:p w14:paraId="4224B5F1">
            <w:pPr>
              <w:widowControl/>
              <w:adjustRightInd w:val="0"/>
              <w:snapToGrid w:val="0"/>
              <w:spacing w:line="300" w:lineRule="exa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3</w:t>
            </w:r>
          </w:p>
        </w:tc>
        <w:tc>
          <w:tcPr>
            <w:tcW w:w="1353" w:type="dxa"/>
            <w:gridSpan w:val="2"/>
            <w:vMerge w:val="restart"/>
            <w:vAlign w:val="center"/>
          </w:tcPr>
          <w:p w14:paraId="1848838F">
            <w:pPr>
              <w:widowControl/>
              <w:adjustRightInd w:val="0"/>
              <w:snapToGrid w:val="0"/>
              <w:ind w:left="-14" w:leftChars="-36" w:hanging="62" w:hangingChars="31"/>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设施设备运转情况</w:t>
            </w:r>
          </w:p>
          <w:p w14:paraId="3B34D0E7">
            <w:pPr>
              <w:widowControl/>
              <w:adjustRightInd w:val="0"/>
              <w:snapToGrid w:val="0"/>
              <w:ind w:left="-35" w:leftChars="-100" w:hanging="175" w:hangingChars="87"/>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（10分）</w:t>
            </w:r>
          </w:p>
        </w:tc>
        <w:tc>
          <w:tcPr>
            <w:tcW w:w="6501" w:type="dxa"/>
            <w:gridSpan w:val="2"/>
            <w:vAlign w:val="center"/>
          </w:tcPr>
          <w:p w14:paraId="12369998">
            <w:pPr>
              <w:widowControl/>
              <w:adjustRightInd w:val="0"/>
              <w:snapToGrid w:val="0"/>
              <w:jc w:val="left"/>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供水、供电</w:t>
            </w:r>
            <w:r>
              <w:rPr>
                <w:rFonts w:hint="eastAsia" w:ascii="宋体" w:hAnsi="宋体" w:eastAsia="宋体" w:cs="宋体"/>
                <w:sz w:val="20"/>
                <w:szCs w:val="20"/>
                <w:highlight w:val="none"/>
              </w:rPr>
              <w:t>设备设施及时维护检查，操作按规范进行，要保持干净。</w:t>
            </w:r>
          </w:p>
        </w:tc>
        <w:tc>
          <w:tcPr>
            <w:tcW w:w="863" w:type="dxa"/>
            <w:vAlign w:val="center"/>
          </w:tcPr>
          <w:p w14:paraId="33456F19">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3</w:t>
            </w:r>
            <w:r>
              <w:rPr>
                <w:rFonts w:hint="eastAsia" w:ascii="宋体" w:hAnsi="宋体" w:eastAsia="宋体" w:cs="宋体"/>
                <w:sz w:val="20"/>
                <w:szCs w:val="20"/>
                <w:highlight w:val="none"/>
              </w:rPr>
              <w:t>分</w:t>
            </w:r>
          </w:p>
        </w:tc>
        <w:tc>
          <w:tcPr>
            <w:tcW w:w="848" w:type="dxa"/>
            <w:vAlign w:val="center"/>
          </w:tcPr>
          <w:p w14:paraId="1DFBA53C">
            <w:pPr>
              <w:widowControl/>
              <w:adjustRightInd w:val="0"/>
              <w:snapToGrid w:val="0"/>
              <w:jc w:val="center"/>
              <w:rPr>
                <w:rFonts w:hint="eastAsia" w:ascii="宋体" w:hAnsi="宋体" w:eastAsia="宋体" w:cs="宋体"/>
                <w:sz w:val="20"/>
                <w:szCs w:val="20"/>
                <w:highlight w:val="none"/>
              </w:rPr>
            </w:pPr>
          </w:p>
        </w:tc>
      </w:tr>
      <w:tr w14:paraId="55523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vMerge w:val="continue"/>
            <w:vAlign w:val="center"/>
          </w:tcPr>
          <w:p w14:paraId="4B26D90D">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4D489707">
            <w:pPr>
              <w:widowControl/>
              <w:adjustRightInd w:val="0"/>
              <w:snapToGrid w:val="0"/>
              <w:jc w:val="center"/>
              <w:rPr>
                <w:rFonts w:hint="eastAsia" w:ascii="宋体" w:hAnsi="宋体" w:eastAsia="宋体" w:cs="宋体"/>
                <w:sz w:val="20"/>
                <w:szCs w:val="20"/>
                <w:highlight w:val="none"/>
              </w:rPr>
            </w:pPr>
          </w:p>
        </w:tc>
        <w:tc>
          <w:tcPr>
            <w:tcW w:w="6501" w:type="dxa"/>
            <w:gridSpan w:val="2"/>
            <w:vAlign w:val="center"/>
          </w:tcPr>
          <w:p w14:paraId="4A055DA1">
            <w:pPr>
              <w:widowControl/>
              <w:adjustRightInd w:val="0"/>
              <w:snapToGrid w:val="0"/>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用水后及时关闭开关，用电后要及时关闭电源，用气后要及时关闭气源及总阀。</w:t>
            </w:r>
          </w:p>
        </w:tc>
        <w:tc>
          <w:tcPr>
            <w:tcW w:w="863" w:type="dxa"/>
            <w:vAlign w:val="center"/>
          </w:tcPr>
          <w:p w14:paraId="0D0CB3E2">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3分</w:t>
            </w:r>
          </w:p>
        </w:tc>
        <w:tc>
          <w:tcPr>
            <w:tcW w:w="848" w:type="dxa"/>
            <w:vAlign w:val="center"/>
          </w:tcPr>
          <w:p w14:paraId="2303EEB9">
            <w:pPr>
              <w:widowControl/>
              <w:adjustRightInd w:val="0"/>
              <w:snapToGrid w:val="0"/>
              <w:jc w:val="center"/>
              <w:rPr>
                <w:rFonts w:hint="eastAsia" w:ascii="宋体" w:hAnsi="宋体" w:eastAsia="宋体" w:cs="宋体"/>
                <w:sz w:val="20"/>
                <w:szCs w:val="20"/>
                <w:highlight w:val="none"/>
              </w:rPr>
            </w:pPr>
          </w:p>
        </w:tc>
      </w:tr>
      <w:tr w14:paraId="107D2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714" w:type="dxa"/>
            <w:vMerge w:val="continue"/>
            <w:vAlign w:val="center"/>
          </w:tcPr>
          <w:p w14:paraId="3AC7A2FB">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6953D23D">
            <w:pPr>
              <w:widowControl/>
              <w:adjustRightInd w:val="0"/>
              <w:snapToGrid w:val="0"/>
              <w:jc w:val="center"/>
              <w:rPr>
                <w:rFonts w:hint="eastAsia" w:ascii="宋体" w:hAnsi="宋体" w:eastAsia="宋体" w:cs="宋体"/>
                <w:sz w:val="20"/>
                <w:szCs w:val="20"/>
                <w:highlight w:val="none"/>
              </w:rPr>
            </w:pPr>
          </w:p>
        </w:tc>
        <w:tc>
          <w:tcPr>
            <w:tcW w:w="6501" w:type="dxa"/>
            <w:gridSpan w:val="2"/>
            <w:vAlign w:val="center"/>
          </w:tcPr>
          <w:p w14:paraId="78503174">
            <w:pPr>
              <w:widowControl/>
              <w:adjustRightInd w:val="0"/>
              <w:snapToGrid w:val="0"/>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燃气管道、水管、电路有问题及时报告</w:t>
            </w:r>
          </w:p>
        </w:tc>
        <w:tc>
          <w:tcPr>
            <w:tcW w:w="863" w:type="dxa"/>
            <w:vAlign w:val="center"/>
          </w:tcPr>
          <w:p w14:paraId="289D2F0C">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4</w:t>
            </w:r>
            <w:r>
              <w:rPr>
                <w:rFonts w:hint="eastAsia" w:ascii="宋体" w:hAnsi="宋体" w:eastAsia="宋体" w:cs="宋体"/>
                <w:sz w:val="20"/>
                <w:szCs w:val="20"/>
                <w:highlight w:val="none"/>
              </w:rPr>
              <w:t>分</w:t>
            </w:r>
          </w:p>
        </w:tc>
        <w:tc>
          <w:tcPr>
            <w:tcW w:w="848" w:type="dxa"/>
            <w:vAlign w:val="center"/>
          </w:tcPr>
          <w:p w14:paraId="29B5F6CC">
            <w:pPr>
              <w:widowControl/>
              <w:adjustRightInd w:val="0"/>
              <w:snapToGrid w:val="0"/>
              <w:jc w:val="center"/>
              <w:rPr>
                <w:rFonts w:hint="eastAsia" w:ascii="宋体" w:hAnsi="宋体" w:eastAsia="宋体" w:cs="宋体"/>
                <w:sz w:val="20"/>
                <w:szCs w:val="20"/>
                <w:highlight w:val="none"/>
              </w:rPr>
            </w:pPr>
          </w:p>
        </w:tc>
      </w:tr>
      <w:tr w14:paraId="44C5A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14" w:type="dxa"/>
            <w:vMerge w:val="restart"/>
            <w:vAlign w:val="center"/>
          </w:tcPr>
          <w:p w14:paraId="73E6C4E8">
            <w:pPr>
              <w:widowControl/>
              <w:adjustRightInd w:val="0"/>
              <w:snapToGrid w:val="0"/>
              <w:spacing w:line="300" w:lineRule="exa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w:t>
            </w:r>
          </w:p>
        </w:tc>
        <w:tc>
          <w:tcPr>
            <w:tcW w:w="1353" w:type="dxa"/>
            <w:gridSpan w:val="2"/>
            <w:vMerge w:val="restart"/>
            <w:vAlign w:val="center"/>
          </w:tcPr>
          <w:p w14:paraId="6DA88061">
            <w:pPr>
              <w:widowControl/>
              <w:adjustRightInd w:val="0"/>
              <w:snapToGrid w:val="0"/>
              <w:ind w:left="-14" w:leftChars="-36" w:hanging="62" w:hangingChars="31"/>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日常管理工作</w:t>
            </w:r>
          </w:p>
          <w:p w14:paraId="02BAF9E5">
            <w:pPr>
              <w:widowControl/>
              <w:adjustRightInd w:val="0"/>
              <w:snapToGrid w:val="0"/>
              <w:ind w:left="-14" w:leftChars="-36" w:hanging="62" w:hangingChars="31"/>
              <w:jc w:val="center"/>
              <w:rPr>
                <w:rFonts w:hint="eastAsia" w:ascii="宋体" w:hAnsi="宋体" w:eastAsia="宋体" w:cs="宋体"/>
                <w:sz w:val="20"/>
                <w:szCs w:val="20"/>
                <w:highlight w:val="none"/>
              </w:rPr>
            </w:pPr>
            <w:r>
              <w:rPr>
                <w:rFonts w:hint="eastAsia" w:ascii="宋体" w:hAnsi="宋体" w:eastAsia="宋体" w:cs="宋体"/>
                <w:b/>
                <w:bCs/>
                <w:sz w:val="20"/>
                <w:szCs w:val="20"/>
                <w:highlight w:val="none"/>
              </w:rPr>
              <w:t>（</w:t>
            </w:r>
            <w:r>
              <w:rPr>
                <w:rFonts w:hint="eastAsia" w:ascii="宋体" w:hAnsi="宋体" w:eastAsia="宋体" w:cs="宋体"/>
                <w:b/>
                <w:bCs/>
                <w:sz w:val="20"/>
                <w:szCs w:val="20"/>
                <w:highlight w:val="none"/>
                <w:lang w:val="en-US" w:eastAsia="zh-CN"/>
              </w:rPr>
              <w:t>35</w:t>
            </w:r>
            <w:r>
              <w:rPr>
                <w:rFonts w:hint="eastAsia" w:ascii="宋体" w:hAnsi="宋体" w:eastAsia="宋体" w:cs="宋体"/>
                <w:b/>
                <w:bCs/>
                <w:sz w:val="20"/>
                <w:szCs w:val="20"/>
                <w:highlight w:val="none"/>
              </w:rPr>
              <w:t>分）</w:t>
            </w:r>
          </w:p>
        </w:tc>
        <w:tc>
          <w:tcPr>
            <w:tcW w:w="6501" w:type="dxa"/>
            <w:gridSpan w:val="2"/>
            <w:vAlign w:val="center"/>
          </w:tcPr>
          <w:p w14:paraId="38F2C366">
            <w:pPr>
              <w:widowControl/>
              <w:adjustRightInd w:val="0"/>
              <w:snapToGrid w:val="0"/>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人员配备符合要求，不能少于规定人数。</w:t>
            </w:r>
          </w:p>
        </w:tc>
        <w:tc>
          <w:tcPr>
            <w:tcW w:w="863" w:type="dxa"/>
            <w:vAlign w:val="center"/>
          </w:tcPr>
          <w:p w14:paraId="77C2F44A">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5</w:t>
            </w:r>
            <w:r>
              <w:rPr>
                <w:rFonts w:hint="eastAsia" w:ascii="宋体" w:hAnsi="宋体" w:eastAsia="宋体" w:cs="宋体"/>
                <w:sz w:val="20"/>
                <w:szCs w:val="20"/>
                <w:highlight w:val="none"/>
              </w:rPr>
              <w:t>分</w:t>
            </w:r>
          </w:p>
        </w:tc>
        <w:tc>
          <w:tcPr>
            <w:tcW w:w="848" w:type="dxa"/>
            <w:vAlign w:val="center"/>
          </w:tcPr>
          <w:p w14:paraId="3CA53F10">
            <w:pPr>
              <w:widowControl/>
              <w:adjustRightInd w:val="0"/>
              <w:snapToGrid w:val="0"/>
              <w:jc w:val="center"/>
              <w:rPr>
                <w:rFonts w:hint="eastAsia" w:ascii="宋体" w:hAnsi="宋体" w:eastAsia="宋体" w:cs="宋体"/>
                <w:sz w:val="20"/>
                <w:szCs w:val="20"/>
                <w:highlight w:val="none"/>
              </w:rPr>
            </w:pPr>
          </w:p>
        </w:tc>
      </w:tr>
      <w:tr w14:paraId="2004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vMerge w:val="continue"/>
            <w:vAlign w:val="center"/>
          </w:tcPr>
          <w:p w14:paraId="5AA927D1">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3BE2EAF5">
            <w:pPr>
              <w:widowControl/>
              <w:adjustRightInd w:val="0"/>
              <w:snapToGrid w:val="0"/>
              <w:jc w:val="center"/>
              <w:rPr>
                <w:rFonts w:hint="eastAsia" w:ascii="宋体" w:hAnsi="宋体" w:eastAsia="宋体" w:cs="宋体"/>
                <w:sz w:val="20"/>
                <w:szCs w:val="20"/>
                <w:highlight w:val="none"/>
              </w:rPr>
            </w:pPr>
          </w:p>
        </w:tc>
        <w:tc>
          <w:tcPr>
            <w:tcW w:w="6501" w:type="dxa"/>
            <w:gridSpan w:val="2"/>
            <w:vAlign w:val="center"/>
          </w:tcPr>
          <w:p w14:paraId="7989BBFB">
            <w:pPr>
              <w:widowControl/>
              <w:adjustRightInd w:val="0"/>
              <w:snapToGrid w:val="0"/>
              <w:jc w:val="left"/>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各种车辆按规定位置停放、管理有序</w:t>
            </w:r>
          </w:p>
        </w:tc>
        <w:tc>
          <w:tcPr>
            <w:tcW w:w="863" w:type="dxa"/>
            <w:vAlign w:val="center"/>
          </w:tcPr>
          <w:p w14:paraId="3F38361F">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4</w:t>
            </w:r>
            <w:r>
              <w:rPr>
                <w:rFonts w:hint="eastAsia" w:ascii="宋体" w:hAnsi="宋体" w:eastAsia="宋体" w:cs="宋体"/>
                <w:sz w:val="20"/>
                <w:szCs w:val="20"/>
                <w:highlight w:val="none"/>
              </w:rPr>
              <w:t>分</w:t>
            </w:r>
          </w:p>
        </w:tc>
        <w:tc>
          <w:tcPr>
            <w:tcW w:w="848" w:type="dxa"/>
            <w:vAlign w:val="center"/>
          </w:tcPr>
          <w:p w14:paraId="54AE641D">
            <w:pPr>
              <w:widowControl/>
              <w:adjustRightInd w:val="0"/>
              <w:snapToGrid w:val="0"/>
              <w:rPr>
                <w:rFonts w:hint="eastAsia" w:ascii="宋体" w:hAnsi="宋体" w:eastAsia="宋体" w:cs="宋体"/>
                <w:sz w:val="20"/>
                <w:szCs w:val="20"/>
                <w:highlight w:val="none"/>
              </w:rPr>
            </w:pPr>
          </w:p>
        </w:tc>
      </w:tr>
      <w:tr w14:paraId="35EC3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vMerge w:val="continue"/>
            <w:vAlign w:val="center"/>
          </w:tcPr>
          <w:p w14:paraId="24D60DA6">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584D42A5">
            <w:pPr>
              <w:widowControl/>
              <w:adjustRightInd w:val="0"/>
              <w:snapToGrid w:val="0"/>
              <w:jc w:val="center"/>
              <w:rPr>
                <w:rFonts w:hint="eastAsia" w:ascii="宋体" w:hAnsi="宋体" w:eastAsia="宋体" w:cs="宋体"/>
                <w:sz w:val="20"/>
                <w:szCs w:val="20"/>
                <w:highlight w:val="none"/>
              </w:rPr>
            </w:pPr>
          </w:p>
        </w:tc>
        <w:tc>
          <w:tcPr>
            <w:tcW w:w="6501" w:type="dxa"/>
            <w:gridSpan w:val="2"/>
            <w:vAlign w:val="center"/>
          </w:tcPr>
          <w:p w14:paraId="6F33C4AB">
            <w:pPr>
              <w:widowControl/>
              <w:adjustRightInd w:val="0"/>
              <w:snapToGrid w:val="0"/>
              <w:jc w:val="left"/>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小区大门口设置保安实行24小时值班制度</w:t>
            </w:r>
          </w:p>
        </w:tc>
        <w:tc>
          <w:tcPr>
            <w:tcW w:w="863" w:type="dxa"/>
            <w:vAlign w:val="center"/>
          </w:tcPr>
          <w:p w14:paraId="1BC362F6">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5分</w:t>
            </w:r>
          </w:p>
        </w:tc>
        <w:tc>
          <w:tcPr>
            <w:tcW w:w="848" w:type="dxa"/>
            <w:vAlign w:val="center"/>
          </w:tcPr>
          <w:p w14:paraId="37E12DB1">
            <w:pPr>
              <w:widowControl/>
              <w:adjustRightInd w:val="0"/>
              <w:snapToGrid w:val="0"/>
              <w:jc w:val="center"/>
              <w:rPr>
                <w:rFonts w:hint="eastAsia" w:ascii="宋体" w:hAnsi="宋体" w:eastAsia="宋体" w:cs="宋体"/>
                <w:sz w:val="20"/>
                <w:szCs w:val="20"/>
                <w:highlight w:val="none"/>
              </w:rPr>
            </w:pPr>
          </w:p>
        </w:tc>
      </w:tr>
      <w:tr w14:paraId="315E3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vMerge w:val="continue"/>
            <w:vAlign w:val="center"/>
          </w:tcPr>
          <w:p w14:paraId="0E1E7B64">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782945C9">
            <w:pPr>
              <w:widowControl/>
              <w:adjustRightInd w:val="0"/>
              <w:snapToGrid w:val="0"/>
              <w:jc w:val="center"/>
              <w:rPr>
                <w:rFonts w:hint="eastAsia" w:ascii="宋体" w:hAnsi="宋体" w:eastAsia="宋体" w:cs="宋体"/>
                <w:sz w:val="20"/>
                <w:szCs w:val="20"/>
                <w:highlight w:val="none"/>
              </w:rPr>
            </w:pPr>
          </w:p>
        </w:tc>
        <w:tc>
          <w:tcPr>
            <w:tcW w:w="6501" w:type="dxa"/>
            <w:gridSpan w:val="2"/>
            <w:vAlign w:val="center"/>
          </w:tcPr>
          <w:p w14:paraId="14B90167">
            <w:pPr>
              <w:widowControl/>
              <w:adjustRightInd w:val="0"/>
              <w:snapToGrid w:val="0"/>
              <w:jc w:val="left"/>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保安人员熟悉环境，文明执勤、训练有素、语言规范、认真负责</w:t>
            </w:r>
          </w:p>
        </w:tc>
        <w:tc>
          <w:tcPr>
            <w:tcW w:w="863" w:type="dxa"/>
            <w:vAlign w:val="center"/>
          </w:tcPr>
          <w:p w14:paraId="276E216E">
            <w:pPr>
              <w:widowControl/>
              <w:adjustRightInd w:val="0"/>
              <w:snapToGrid w:val="0"/>
              <w:jc w:val="center"/>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4分</w:t>
            </w:r>
          </w:p>
        </w:tc>
        <w:tc>
          <w:tcPr>
            <w:tcW w:w="848" w:type="dxa"/>
            <w:vAlign w:val="center"/>
          </w:tcPr>
          <w:p w14:paraId="4EFCBB83">
            <w:pPr>
              <w:widowControl/>
              <w:adjustRightInd w:val="0"/>
              <w:snapToGrid w:val="0"/>
              <w:jc w:val="center"/>
              <w:rPr>
                <w:rFonts w:hint="eastAsia" w:ascii="宋体" w:hAnsi="宋体" w:eastAsia="宋体" w:cs="宋体"/>
                <w:sz w:val="20"/>
                <w:szCs w:val="20"/>
                <w:highlight w:val="none"/>
              </w:rPr>
            </w:pPr>
          </w:p>
        </w:tc>
      </w:tr>
      <w:tr w14:paraId="126DF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vMerge w:val="continue"/>
            <w:vAlign w:val="center"/>
          </w:tcPr>
          <w:p w14:paraId="36453E30">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40174D85">
            <w:pPr>
              <w:widowControl/>
              <w:adjustRightInd w:val="0"/>
              <w:snapToGrid w:val="0"/>
              <w:jc w:val="center"/>
              <w:rPr>
                <w:rFonts w:hint="eastAsia" w:ascii="宋体" w:hAnsi="宋体" w:eastAsia="宋体" w:cs="宋体"/>
                <w:sz w:val="20"/>
                <w:szCs w:val="20"/>
                <w:highlight w:val="none"/>
              </w:rPr>
            </w:pPr>
          </w:p>
        </w:tc>
        <w:tc>
          <w:tcPr>
            <w:tcW w:w="6501" w:type="dxa"/>
            <w:gridSpan w:val="2"/>
            <w:vAlign w:val="center"/>
          </w:tcPr>
          <w:p w14:paraId="0C8849C9">
            <w:pPr>
              <w:widowControl/>
              <w:adjustRightInd w:val="0"/>
              <w:snapToGrid w:val="0"/>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服从管理、听从指挥，不允许出现吵架、打架事件，对所提意见和建议及时整改。</w:t>
            </w:r>
          </w:p>
        </w:tc>
        <w:tc>
          <w:tcPr>
            <w:tcW w:w="863" w:type="dxa"/>
            <w:vAlign w:val="center"/>
          </w:tcPr>
          <w:p w14:paraId="2F1A72B0">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4分</w:t>
            </w:r>
          </w:p>
        </w:tc>
        <w:tc>
          <w:tcPr>
            <w:tcW w:w="848" w:type="dxa"/>
            <w:vAlign w:val="center"/>
          </w:tcPr>
          <w:p w14:paraId="208BFA2D">
            <w:pPr>
              <w:widowControl/>
              <w:adjustRightInd w:val="0"/>
              <w:snapToGrid w:val="0"/>
              <w:jc w:val="center"/>
              <w:rPr>
                <w:rFonts w:hint="eastAsia" w:ascii="宋体" w:hAnsi="宋体" w:eastAsia="宋体" w:cs="宋体"/>
                <w:sz w:val="20"/>
                <w:szCs w:val="20"/>
                <w:highlight w:val="none"/>
              </w:rPr>
            </w:pPr>
          </w:p>
        </w:tc>
      </w:tr>
      <w:tr w14:paraId="4D38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vMerge w:val="continue"/>
            <w:vAlign w:val="center"/>
          </w:tcPr>
          <w:p w14:paraId="013100B1">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4D34F78F">
            <w:pPr>
              <w:widowControl/>
              <w:adjustRightInd w:val="0"/>
              <w:snapToGrid w:val="0"/>
              <w:jc w:val="center"/>
              <w:rPr>
                <w:rFonts w:hint="eastAsia" w:ascii="宋体" w:hAnsi="宋体" w:eastAsia="宋体" w:cs="宋体"/>
                <w:sz w:val="20"/>
                <w:szCs w:val="20"/>
                <w:highlight w:val="none"/>
              </w:rPr>
            </w:pPr>
          </w:p>
        </w:tc>
        <w:tc>
          <w:tcPr>
            <w:tcW w:w="6501" w:type="dxa"/>
            <w:gridSpan w:val="2"/>
            <w:vAlign w:val="center"/>
          </w:tcPr>
          <w:p w14:paraId="4297EFFE">
            <w:pPr>
              <w:widowControl/>
              <w:adjustRightInd w:val="0"/>
              <w:snapToGrid w:val="0"/>
              <w:jc w:val="left"/>
              <w:rPr>
                <w:rFonts w:hint="eastAsia" w:ascii="宋体" w:hAnsi="宋体" w:eastAsia="宋体" w:cs="宋体"/>
                <w:spacing w:val="-14"/>
                <w:sz w:val="20"/>
                <w:szCs w:val="20"/>
                <w:highlight w:val="none"/>
              </w:rPr>
            </w:pPr>
            <w:r>
              <w:rPr>
                <w:rFonts w:hint="eastAsia" w:ascii="宋体" w:hAnsi="宋体" w:eastAsia="宋体" w:cs="宋体"/>
                <w:sz w:val="20"/>
                <w:szCs w:val="20"/>
                <w:highlight w:val="none"/>
              </w:rPr>
              <w:t>公共设施及用品按照要求清洗消毒，</w:t>
            </w:r>
            <w:r>
              <w:rPr>
                <w:rFonts w:hint="eastAsia" w:ascii="宋体" w:hAnsi="宋体" w:eastAsia="宋体" w:cs="宋体"/>
                <w:spacing w:val="-14"/>
                <w:sz w:val="20"/>
                <w:szCs w:val="20"/>
                <w:highlight w:val="none"/>
              </w:rPr>
              <w:t>餐厅、餐具物品摆放整齐、擦拭干净。</w:t>
            </w:r>
          </w:p>
        </w:tc>
        <w:tc>
          <w:tcPr>
            <w:tcW w:w="863" w:type="dxa"/>
            <w:vAlign w:val="center"/>
          </w:tcPr>
          <w:p w14:paraId="489C8C1C">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5分</w:t>
            </w:r>
          </w:p>
        </w:tc>
        <w:tc>
          <w:tcPr>
            <w:tcW w:w="848" w:type="dxa"/>
            <w:vAlign w:val="center"/>
          </w:tcPr>
          <w:p w14:paraId="306E71ED">
            <w:pPr>
              <w:widowControl/>
              <w:adjustRightInd w:val="0"/>
              <w:snapToGrid w:val="0"/>
              <w:jc w:val="center"/>
              <w:rPr>
                <w:rFonts w:hint="eastAsia" w:ascii="宋体" w:hAnsi="宋体" w:eastAsia="宋体" w:cs="宋体"/>
                <w:sz w:val="20"/>
                <w:szCs w:val="20"/>
                <w:highlight w:val="none"/>
              </w:rPr>
            </w:pPr>
          </w:p>
        </w:tc>
      </w:tr>
      <w:tr w14:paraId="70F79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714" w:type="dxa"/>
            <w:vMerge w:val="continue"/>
            <w:vAlign w:val="center"/>
          </w:tcPr>
          <w:p w14:paraId="3B9FE6A6">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239D20C2">
            <w:pPr>
              <w:widowControl/>
              <w:adjustRightInd w:val="0"/>
              <w:snapToGrid w:val="0"/>
              <w:jc w:val="center"/>
              <w:rPr>
                <w:rFonts w:hint="eastAsia" w:ascii="宋体" w:hAnsi="宋体" w:eastAsia="宋体" w:cs="宋体"/>
                <w:sz w:val="20"/>
                <w:szCs w:val="20"/>
                <w:highlight w:val="none"/>
              </w:rPr>
            </w:pPr>
          </w:p>
        </w:tc>
        <w:tc>
          <w:tcPr>
            <w:tcW w:w="6501" w:type="dxa"/>
            <w:gridSpan w:val="2"/>
            <w:vAlign w:val="center"/>
          </w:tcPr>
          <w:p w14:paraId="13F23FA8">
            <w:pPr>
              <w:widowControl/>
              <w:adjustRightInd w:val="0"/>
              <w:snapToGrid w:val="0"/>
              <w:jc w:val="left"/>
              <w:rPr>
                <w:rFonts w:hint="eastAsia" w:ascii="宋体" w:hAnsi="宋体" w:eastAsia="宋体" w:cs="宋体"/>
                <w:spacing w:val="-14"/>
                <w:sz w:val="20"/>
                <w:szCs w:val="20"/>
                <w:highlight w:val="none"/>
              </w:rPr>
            </w:pPr>
            <w:r>
              <w:rPr>
                <w:rFonts w:hint="eastAsia" w:ascii="宋体" w:hAnsi="宋体" w:eastAsia="宋体" w:cs="宋体"/>
                <w:sz w:val="20"/>
                <w:szCs w:val="20"/>
                <w:highlight w:val="none"/>
              </w:rPr>
              <w:t>灭蝇灯、消毒灯做到专人定时开启。</w:t>
            </w:r>
          </w:p>
        </w:tc>
        <w:tc>
          <w:tcPr>
            <w:tcW w:w="863" w:type="dxa"/>
            <w:vAlign w:val="center"/>
          </w:tcPr>
          <w:p w14:paraId="6F35353C">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3分</w:t>
            </w:r>
          </w:p>
        </w:tc>
        <w:tc>
          <w:tcPr>
            <w:tcW w:w="848" w:type="dxa"/>
            <w:vAlign w:val="center"/>
          </w:tcPr>
          <w:p w14:paraId="15AB0701">
            <w:pPr>
              <w:widowControl/>
              <w:adjustRightInd w:val="0"/>
              <w:snapToGrid w:val="0"/>
              <w:jc w:val="center"/>
              <w:rPr>
                <w:rFonts w:hint="eastAsia" w:ascii="宋体" w:hAnsi="宋体" w:eastAsia="宋体" w:cs="宋体"/>
                <w:sz w:val="20"/>
                <w:szCs w:val="20"/>
                <w:highlight w:val="none"/>
              </w:rPr>
            </w:pPr>
          </w:p>
        </w:tc>
      </w:tr>
      <w:tr w14:paraId="01CF5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14" w:type="dxa"/>
            <w:vMerge w:val="continue"/>
            <w:vAlign w:val="center"/>
          </w:tcPr>
          <w:p w14:paraId="27C2AC86">
            <w:pPr>
              <w:widowControl/>
              <w:adjustRightInd w:val="0"/>
              <w:snapToGrid w:val="0"/>
              <w:spacing w:line="300" w:lineRule="exact"/>
              <w:jc w:val="center"/>
              <w:rPr>
                <w:rFonts w:hint="eastAsia" w:ascii="宋体" w:hAnsi="宋体" w:eastAsia="宋体" w:cs="宋体"/>
                <w:sz w:val="20"/>
                <w:szCs w:val="20"/>
                <w:highlight w:val="none"/>
              </w:rPr>
            </w:pPr>
          </w:p>
        </w:tc>
        <w:tc>
          <w:tcPr>
            <w:tcW w:w="1353" w:type="dxa"/>
            <w:gridSpan w:val="2"/>
            <w:vMerge w:val="continue"/>
            <w:vAlign w:val="center"/>
          </w:tcPr>
          <w:p w14:paraId="27150B00">
            <w:pPr>
              <w:widowControl/>
              <w:adjustRightInd w:val="0"/>
              <w:snapToGrid w:val="0"/>
              <w:jc w:val="center"/>
              <w:rPr>
                <w:rFonts w:hint="eastAsia" w:ascii="宋体" w:hAnsi="宋体" w:eastAsia="宋体" w:cs="宋体"/>
                <w:sz w:val="20"/>
                <w:szCs w:val="20"/>
                <w:highlight w:val="none"/>
              </w:rPr>
            </w:pPr>
          </w:p>
        </w:tc>
        <w:tc>
          <w:tcPr>
            <w:tcW w:w="6501" w:type="dxa"/>
            <w:gridSpan w:val="2"/>
            <w:vAlign w:val="center"/>
          </w:tcPr>
          <w:p w14:paraId="0345C432">
            <w:pPr>
              <w:widowControl/>
              <w:adjustRightInd w:val="0"/>
              <w:snapToGrid w:val="0"/>
              <w:jc w:val="left"/>
              <w:rPr>
                <w:rFonts w:hint="eastAsia" w:ascii="宋体" w:hAnsi="宋体" w:eastAsia="宋体" w:cs="宋体"/>
                <w:spacing w:val="-14"/>
                <w:sz w:val="20"/>
                <w:szCs w:val="20"/>
                <w:highlight w:val="none"/>
              </w:rPr>
            </w:pPr>
            <w:r>
              <w:rPr>
                <w:rFonts w:hint="eastAsia" w:ascii="宋体" w:hAnsi="宋体" w:eastAsia="宋体" w:cs="宋体"/>
                <w:sz w:val="20"/>
                <w:szCs w:val="20"/>
                <w:highlight w:val="none"/>
              </w:rPr>
              <w:t>工作人员要会使用灭火毯、消防设施器材，要有事故防范的基本技能。</w:t>
            </w:r>
          </w:p>
        </w:tc>
        <w:tc>
          <w:tcPr>
            <w:tcW w:w="863" w:type="dxa"/>
            <w:vAlign w:val="center"/>
          </w:tcPr>
          <w:p w14:paraId="65F06F43">
            <w:pPr>
              <w:widowControl/>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5分</w:t>
            </w:r>
          </w:p>
        </w:tc>
        <w:tc>
          <w:tcPr>
            <w:tcW w:w="848" w:type="dxa"/>
            <w:vAlign w:val="center"/>
          </w:tcPr>
          <w:p w14:paraId="46405180">
            <w:pPr>
              <w:widowControl/>
              <w:adjustRightInd w:val="0"/>
              <w:snapToGrid w:val="0"/>
              <w:jc w:val="center"/>
              <w:rPr>
                <w:rFonts w:hint="eastAsia" w:ascii="宋体" w:hAnsi="宋体" w:eastAsia="宋体" w:cs="宋体"/>
                <w:sz w:val="20"/>
                <w:szCs w:val="20"/>
                <w:highlight w:val="none"/>
              </w:rPr>
            </w:pPr>
          </w:p>
        </w:tc>
      </w:tr>
      <w:tr w14:paraId="24BDA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286" w:type="dxa"/>
            <w:gridSpan w:val="4"/>
            <w:vAlign w:val="center"/>
          </w:tcPr>
          <w:p w14:paraId="63581BE2">
            <w:pPr>
              <w:widowControl/>
              <w:adjustRightInd w:val="0"/>
              <w:snapToGrid w:val="0"/>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总得分</w:t>
            </w:r>
          </w:p>
        </w:tc>
        <w:tc>
          <w:tcPr>
            <w:tcW w:w="3993" w:type="dxa"/>
            <w:gridSpan w:val="3"/>
            <w:vAlign w:val="center"/>
          </w:tcPr>
          <w:p w14:paraId="218B1864">
            <w:pPr>
              <w:widowControl/>
              <w:adjustRightInd w:val="0"/>
              <w:snapToGrid w:val="0"/>
              <w:jc w:val="center"/>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100分</w:t>
            </w:r>
          </w:p>
        </w:tc>
      </w:tr>
      <w:tr w14:paraId="65A18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34" w:type="dxa"/>
            <w:gridSpan w:val="2"/>
            <w:vAlign w:val="center"/>
          </w:tcPr>
          <w:p w14:paraId="31EBCCA8">
            <w:pPr>
              <w:adjustRightInd w:val="0"/>
              <w:snapToGrid w:val="0"/>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其它</w:t>
            </w:r>
          </w:p>
        </w:tc>
        <w:tc>
          <w:tcPr>
            <w:tcW w:w="9545" w:type="dxa"/>
            <w:gridSpan w:val="5"/>
            <w:vAlign w:val="center"/>
          </w:tcPr>
          <w:p w14:paraId="62250750">
            <w:pPr>
              <w:widowControl/>
              <w:adjustRightInd w:val="0"/>
              <w:snapToGrid w:val="0"/>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凡造成食物中毒事故，乙方除承担一切刑事、民事（含经济赔偿）责任外，还将被处以10万元人民币的罚款，并终止合同。</w:t>
            </w:r>
          </w:p>
        </w:tc>
      </w:tr>
      <w:tr w14:paraId="03911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0279" w:type="dxa"/>
            <w:gridSpan w:val="7"/>
            <w:vAlign w:val="center"/>
          </w:tcPr>
          <w:p w14:paraId="66E4F50B">
            <w:pPr>
              <w:widowControl/>
              <w:adjustRightInd w:val="0"/>
              <w:snapToGrid w:val="0"/>
              <w:jc w:val="left"/>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rPr>
              <w:t>注：</w:t>
            </w:r>
            <w:r>
              <w:rPr>
                <w:rFonts w:hint="eastAsia" w:ascii="宋体" w:hAnsi="宋体" w:eastAsia="宋体" w:cs="宋体"/>
                <w:sz w:val="20"/>
                <w:szCs w:val="20"/>
                <w:highlight w:val="none"/>
                <w:lang w:val="en-US" w:eastAsia="zh-CN"/>
              </w:rPr>
              <w:t xml:space="preserve"> </w:t>
            </w:r>
          </w:p>
          <w:p w14:paraId="3321559D">
            <w:pPr>
              <w:widowControl/>
              <w:adjustRightInd w:val="0"/>
              <w:snapToGrid w:val="0"/>
              <w:jc w:val="left"/>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1.绩效评价机制</w:t>
            </w:r>
          </w:p>
          <w:p w14:paraId="67969C5E">
            <w:pPr>
              <w:widowControl/>
              <w:adjustRightInd w:val="0"/>
              <w:snapToGrid w:val="0"/>
              <w:jc w:val="left"/>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甲方负责对乙方的服务成果进行绩效评价，评价内容包括但不限于服务质量、时效性、合规性及用户满意度，绩效评价采用百分制，总分值为100分。</w:t>
            </w:r>
          </w:p>
          <w:p w14:paraId="275A9D35">
            <w:pPr>
              <w:widowControl/>
              <w:adjustRightInd w:val="0"/>
              <w:snapToGrid w:val="0"/>
              <w:jc w:val="left"/>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2.资金支付规则</w:t>
            </w:r>
          </w:p>
          <w:p w14:paraId="2B0EAD72">
            <w:pPr>
              <w:widowControl/>
              <w:adjustRightInd w:val="0"/>
              <w:snapToGrid w:val="0"/>
              <w:jc w:val="left"/>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根据绩效评价结果，甲方按以下比例支付合同款项：</w:t>
            </w:r>
          </w:p>
          <w:p w14:paraId="32CABF3B">
            <w:pPr>
              <w:widowControl/>
              <w:adjustRightInd w:val="0"/>
              <w:snapToGrid w:val="0"/>
              <w:jc w:val="left"/>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优秀（≥90分）：支付</w:t>
            </w:r>
            <w:r>
              <w:rPr>
                <w:rFonts w:hint="eastAsia" w:ascii="宋体" w:hAnsi="宋体" w:eastAsia="宋体" w:cs="宋体"/>
                <w:sz w:val="20"/>
                <w:szCs w:val="20"/>
                <w:highlight w:val="none"/>
                <w:lang w:val="en-US" w:eastAsia="zh-CN"/>
              </w:rPr>
              <w:t>该季度</w:t>
            </w:r>
            <w:r>
              <w:rPr>
                <w:rFonts w:hint="eastAsia" w:ascii="宋体" w:hAnsi="宋体" w:eastAsia="宋体" w:cs="宋体"/>
                <w:sz w:val="20"/>
                <w:szCs w:val="20"/>
                <w:highlight w:val="none"/>
                <w:lang w:eastAsia="zh-CN"/>
              </w:rPr>
              <w:t>合同款项的100%；</w:t>
            </w:r>
          </w:p>
          <w:p w14:paraId="69940EF8">
            <w:pPr>
              <w:widowControl/>
              <w:adjustRightInd w:val="0"/>
              <w:snapToGrid w:val="0"/>
              <w:jc w:val="left"/>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良好（80-89分）：支付</w:t>
            </w:r>
            <w:r>
              <w:rPr>
                <w:rFonts w:hint="eastAsia" w:ascii="宋体" w:hAnsi="宋体" w:eastAsia="宋体" w:cs="宋体"/>
                <w:sz w:val="20"/>
                <w:szCs w:val="20"/>
                <w:highlight w:val="none"/>
                <w:lang w:val="en-US" w:eastAsia="zh-CN"/>
              </w:rPr>
              <w:t>该季度</w:t>
            </w:r>
            <w:r>
              <w:rPr>
                <w:rFonts w:hint="eastAsia" w:ascii="宋体" w:hAnsi="宋体" w:eastAsia="宋体" w:cs="宋体"/>
                <w:sz w:val="20"/>
                <w:szCs w:val="20"/>
                <w:highlight w:val="none"/>
                <w:lang w:eastAsia="zh-CN"/>
              </w:rPr>
              <w:t>合同款项的90%；</w:t>
            </w:r>
          </w:p>
          <w:p w14:paraId="1A1A23E9">
            <w:pPr>
              <w:widowControl/>
              <w:adjustRightInd w:val="0"/>
              <w:snapToGrid w:val="0"/>
              <w:jc w:val="left"/>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合格（60-79分）：支付</w:t>
            </w:r>
            <w:r>
              <w:rPr>
                <w:rFonts w:hint="eastAsia" w:ascii="宋体" w:hAnsi="宋体" w:eastAsia="宋体" w:cs="宋体"/>
                <w:sz w:val="20"/>
                <w:szCs w:val="20"/>
                <w:highlight w:val="none"/>
                <w:lang w:val="en-US" w:eastAsia="zh-CN"/>
              </w:rPr>
              <w:t>该季度</w:t>
            </w:r>
            <w:r>
              <w:rPr>
                <w:rFonts w:hint="eastAsia" w:ascii="宋体" w:hAnsi="宋体" w:eastAsia="宋体" w:cs="宋体"/>
                <w:sz w:val="20"/>
                <w:szCs w:val="20"/>
                <w:highlight w:val="none"/>
                <w:lang w:eastAsia="zh-CN"/>
              </w:rPr>
              <w:t>合同款项的70%；</w:t>
            </w:r>
          </w:p>
          <w:p w14:paraId="1F8D1C45">
            <w:pPr>
              <w:widowControl/>
              <w:adjustRightInd w:val="0"/>
              <w:snapToGrid w:val="0"/>
              <w:jc w:val="left"/>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不合格（＜60分）：不予支付</w:t>
            </w:r>
            <w:r>
              <w:rPr>
                <w:rFonts w:hint="eastAsia" w:ascii="宋体" w:hAnsi="宋体" w:eastAsia="宋体" w:cs="宋体"/>
                <w:sz w:val="20"/>
                <w:szCs w:val="20"/>
                <w:highlight w:val="none"/>
                <w:lang w:val="en-US" w:eastAsia="zh-CN"/>
              </w:rPr>
              <w:t>该季度</w:t>
            </w:r>
            <w:r>
              <w:rPr>
                <w:rFonts w:hint="eastAsia" w:ascii="宋体" w:hAnsi="宋体" w:eastAsia="宋体" w:cs="宋体"/>
                <w:sz w:val="20"/>
                <w:szCs w:val="20"/>
                <w:highlight w:val="none"/>
                <w:lang w:eastAsia="zh-CN"/>
              </w:rPr>
              <w:t>合同款项。</w:t>
            </w:r>
          </w:p>
        </w:tc>
      </w:tr>
    </w:tbl>
    <w:p w14:paraId="43F721C9">
      <w:pPr>
        <w:pStyle w:val="8"/>
        <w:rPr>
          <w:rFonts w:hint="default"/>
          <w:highlight w:val="none"/>
          <w:lang w:eastAsia="zh-CN"/>
        </w:rPr>
      </w:pPr>
    </w:p>
    <w:p w14:paraId="1188764B">
      <w:pPr>
        <w:rPr>
          <w:rFonts w:hint="eastAsia"/>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56E"/>
    <w:rsid w:val="00000A48"/>
    <w:rsid w:val="000A15E7"/>
    <w:rsid w:val="0013152D"/>
    <w:rsid w:val="001D533E"/>
    <w:rsid w:val="00336E15"/>
    <w:rsid w:val="00384FFB"/>
    <w:rsid w:val="004526D7"/>
    <w:rsid w:val="004B4D64"/>
    <w:rsid w:val="004F7D41"/>
    <w:rsid w:val="0065195B"/>
    <w:rsid w:val="0065205C"/>
    <w:rsid w:val="00716A5A"/>
    <w:rsid w:val="007A3D96"/>
    <w:rsid w:val="007E4C55"/>
    <w:rsid w:val="007F5BBF"/>
    <w:rsid w:val="0081756E"/>
    <w:rsid w:val="0086403F"/>
    <w:rsid w:val="008B6894"/>
    <w:rsid w:val="00970761"/>
    <w:rsid w:val="00A43BB5"/>
    <w:rsid w:val="00A4650F"/>
    <w:rsid w:val="00B14B81"/>
    <w:rsid w:val="00EF1177"/>
    <w:rsid w:val="0C2B79D9"/>
    <w:rsid w:val="202C1692"/>
    <w:rsid w:val="2B8B75B7"/>
    <w:rsid w:val="2CD83896"/>
    <w:rsid w:val="3F676B53"/>
    <w:rsid w:val="4FAF0781"/>
    <w:rsid w:val="517F5D19"/>
    <w:rsid w:val="7B874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table" w:customStyle="1" w:styleId="9">
    <w:name w:val="Table Normal1"/>
    <w:semiHidden/>
    <w:unhideWhenUsed/>
    <w:qFormat/>
    <w:uiPriority w:val="0"/>
    <w:rPr>
      <w:rFonts w:ascii="Arial" w:hAnsi="Arial" w:eastAsia="宋体"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4199</Words>
  <Characters>4263</Characters>
  <Lines>16</Lines>
  <Paragraphs>4</Paragraphs>
  <TotalTime>0</TotalTime>
  <ScaleCrop>false</ScaleCrop>
  <LinksUpToDate>false</LinksUpToDate>
  <CharactersWithSpaces>4306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2024-08-28T07:16:00Z</dcterms:created>
  <dc:creator>AA</dc:creator>
  <cp:lastModifiedBy>高蕊玲</cp:lastModifiedBy>
  <cp:lastPrinted>2024-11-25T03:51:00Z</cp:lastPrinted>
  <dcterms:modified xsi:type="dcterms:W3CDTF">2025-09-30T02:55:13Z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AD5643A8199248D09DEDDF6F5114149C_12</vt:lpwstr>
  </property>
  <property fmtid="{D5CDD505-2E9C-101B-9397-08002B2CF9AE}" pid="4" name="KSOTemplateDocerSaveRecord">
    <vt:lpwstr>eyJoZGlkIjoiOWNkODk0Yzk4YThhZTUxYjE4YjI3ZGQ1ZWZmMWIzMGUiLCJ1c2VySWQiOiIxNjY0MTM3NDI2In0=</vt:lpwstr>
  </property>
</Properties>
</file>