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版本号：慧科ZX-CF01319BF20251119001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2025年教职工体检服务采购项目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慧科ZX-CF01319BF</w:t>
      </w:r>
      <w:r>
        <w:br/>
      </w:r>
      <w:r>
        <w:br/>
      </w:r>
      <w:r>
        <w:br/>
      </w:r>
    </w:p>
    <w:p>
      <w:pPr>
        <w:pStyle w:val="null3"/>
        <w:jc w:val="center"/>
        <w:outlineLvl w:val="2"/>
      </w:pPr>
      <w:r>
        <w:rPr>
          <w:rFonts w:ascii="仿宋_GB2312" w:hAnsi="仿宋_GB2312" w:cs="仿宋_GB2312" w:eastAsia="仿宋_GB2312"/>
          <w:sz w:val="28"/>
          <w:b/>
        </w:rPr>
        <w:t>西安市曲江第一中学</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西安市曲江第一中学</w:t>
      </w:r>
      <w:r>
        <w:rPr>
          <w:rFonts w:ascii="仿宋_GB2312" w:hAnsi="仿宋_GB2312" w:cs="仿宋_GB2312" w:eastAsia="仿宋_GB2312"/>
        </w:rPr>
        <w:t>委托，拟对</w:t>
      </w:r>
      <w:r>
        <w:rPr>
          <w:rFonts w:ascii="仿宋_GB2312" w:hAnsi="仿宋_GB2312" w:cs="仿宋_GB2312" w:eastAsia="仿宋_GB2312"/>
        </w:rPr>
        <w:t>2025年教职工体检服务采购项目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慧科ZX-CF01319BF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2025年教职工体检服务采购项目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本次项目采购西安市曲江第一中学2025年教职工体检服务，具体内容详见采购文件。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2、企业资质：供应商应具有卫生行政部门颁发的《医疗机构执业许可证》及《放射诊疗许可证》（诊疗科目中有开展健康体检服务的科目）</w:t>
      </w:r>
    </w:p>
    <w:p>
      <w:pPr>
        <w:pStyle w:val="null3"/>
      </w:pPr>
      <w:r>
        <w:rPr>
          <w:rFonts w:ascii="仿宋_GB2312" w:hAnsi="仿宋_GB2312" w:cs="仿宋_GB2312" w:eastAsia="仿宋_GB2312"/>
        </w:rPr>
        <w:t>3、关联关系承诺：单位负责人为同一人或者存在直接控股、管理关系的不同供应商，不得参加同一合同项下的政府采购活动。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4、法定代表人授权委托书：提供法定代表人投权委托书和被投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西安市雁塔区曲江路396号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西安市曲江第一中学经办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029-62889518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陕西省西安市雁塔区陕西省西安市雁塔区太白南路39号金石柏朗1203室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李小刚、达涛涛、樊军辉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029-89284578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关于印发《招标代理服务收费管理暂行办法》的通知(计价格(2002)1980号)、《国家发展和改革委员会办公厅关于招标代理服务收费有关问题的通知》(发改办价格(2003)857号)文件规定标准 90%计取，不足5000元按5000元记取，由成交供应商一次性支付给陕西慧科工程管理咨询有限公司。 2、代理服务费缴纳账户： 开户名称：陕西慧科工程管理咨询有限公司、开户银行：交通银行股份有限公司西安光华路支行、账 号：611301135013001841428。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西安市曲江第一中学</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西安市曲江第一中学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联系人：李小刚、达涛涛、樊军辉</w:t>
      </w:r>
    </w:p>
    <w:p>
      <w:pPr>
        <w:pStyle w:val="null3"/>
      </w:pPr>
      <w:r>
        <w:rPr>
          <w:rFonts w:ascii="仿宋_GB2312" w:hAnsi="仿宋_GB2312" w:cs="仿宋_GB2312" w:eastAsia="仿宋_GB2312"/>
        </w:rPr>
        <w:t>联系电话：029-029-89284578</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为了体现学校对教职工的关心和关爱，维护教职工身体健康。根据教育部门要求组织教职工体检的规定，我校将参加教职工体检总人数352名。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352,000.00</w:t>
      </w:r>
    </w:p>
    <w:p>
      <w:pPr>
        <w:pStyle w:val="null3"/>
      </w:pPr>
      <w:r>
        <w:rPr>
          <w:rFonts w:ascii="仿宋_GB2312" w:hAnsi="仿宋_GB2312" w:cs="仿宋_GB2312" w:eastAsia="仿宋_GB2312"/>
        </w:rPr>
        <w:t>采购包最高限价（元）: 352,000.00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教职工体检服务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标的名称：教职工体检服务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为了体现学校对教职工的关心和关爱，维护教职工身体健康。根据教育部门每年要求组织一次教职工体检的规定，我校将参加教职工体检总人数352名.</w:t>
            </w:r>
          </w:p>
          <w:p>
            <w:pPr>
              <w:pStyle w:val="null3"/>
              <w:ind w:firstLine="400"/>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具体包括：建立健康档案、一般检查（血压、身高、体重）、内科检查、外科检查 、眼科（视力辨色力、眼压、眼底照相、裂隙灯、人工智能视网膜筛查）、血常规、尿常规、肝功十项、乙肝五项定性、肾功四项、空腹血糖、血脂四项、心电图、颈椎正侧位片、甲状腺彩超、经颅多普勒、胸部CT、腹部+盆腔B超（彩色）、肿瘤普查、C14呼气试验、女性妇科检查、宫颈TCT（已婚女性）、乳腺检查等。</w:t>
            </w:r>
          </w:p>
          <w:p>
            <w:pPr>
              <w:pStyle w:val="null3"/>
              <w:ind w:firstLine="400"/>
              <w:jc w:val="both"/>
            </w:pPr>
            <w:r>
              <w:rPr>
                <w:rFonts w:ascii="仿宋_GB2312" w:hAnsi="仿宋_GB2312" w:cs="仿宋_GB2312" w:eastAsia="仿宋_GB2312"/>
                <w:sz w:val="20"/>
              </w:rPr>
              <w:t>三、服务要求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体检单位具有卫生行政部门核准的相关资质。拥有先进的医疗资源和体检设备。</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体检地点为体检医疗机构指定的唯一服务点，交通便捷，环境良好。未经采购人允许，不许调配采购人体检人员到体检医疗机构旗下的其他分院或其他分支机构进行体检。</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针对教师职业特征、性别、年龄段及教职工以往体检数据分析，对眼科、甲状腺疾病、颈椎疾病、心血管疾病、妇科疾病等项目有较高的关注度，分别列出详细的体检项目及内容。（见附件1）体检单位可适当赠送一定的体检项目及服务。</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体检单位应具有相应的体检信息管理系统可进行体检预约和体检信息综合管理，建立体检人员电子健康档案。</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体检单位应在体检结束后15日内，向用户方提交体检报告，体检报告须进行密封，体检结束30日内向用户单位提供所查人员的疾患名单和疾病汇总分析，由体检单位进行一次上门体检报告解析答疑，提出参考和建议。</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体检单位应提前告知特殊体检项目的详细要求和注意事项，为体检教职工提供“体检温馨提示”一份，以便指导体检顺利进行。</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因工作性质特殊，本次体检需快速、高效进行，尽可能简化流程，保证学校工作、授课的开展。</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本次体检暂定人数分别为：男性：89人；已婚女性：  205人；未婚女性：58人，最终以实际体检人数据实结算。</w:t>
            </w:r>
          </w:p>
          <w:p>
            <w:pPr>
              <w:pStyle w:val="null3"/>
              <w:jc w:val="both"/>
            </w:pPr>
            <w:r>
              <w:rPr>
                <w:rFonts w:ascii="仿宋_GB2312" w:hAnsi="仿宋_GB2312" w:cs="仿宋_GB2312" w:eastAsia="仿宋_GB2312"/>
                <w:sz w:val="20"/>
                <w:b/>
              </w:rPr>
              <w:t>附件1 ：体检项目及内容</w:t>
            </w:r>
          </w:p>
          <w:tbl>
            <w:tblPr>
              <w:tblBorders>
                <w:top w:val="none" w:color="000000" w:sz="4"/>
                <w:left w:val="none" w:color="000000" w:sz="4"/>
                <w:bottom w:val="none" w:color="000000" w:sz="4"/>
                <w:right w:val="none" w:color="000000" w:sz="4"/>
                <w:insideH w:val="none"/>
                <w:insideV w:val="none"/>
              </w:tblBorders>
            </w:tblPr>
            <w:tblGrid>
              <w:gridCol w:w="330"/>
              <w:gridCol w:w="1412"/>
              <w:gridCol w:w="300"/>
              <w:gridCol w:w="255"/>
              <w:gridCol w:w="255"/>
            </w:tblGrid>
            <w:tr>
              <w:tc>
                <w:tcPr>
                  <w:tcW w:type="dxa" w:w="330"/>
                  <w:vMerge w:val="restart"/>
                  <w:tcBorders>
                    <w:top w:val="single" w:color="000000" w:sz="4"/>
                    <w:left w:val="single" w:color="000000" w:sz="4"/>
                    <w:bottom w:val="single" w:color="000000" w:sz="4"/>
                    <w:right w:val="single" w:color="000000" w:sz="4"/>
                  </w:tcBorders>
                  <w:shd w:fill="FFFFFF"/>
                  <w:tcMar>
                    <w:top w:type="dxa" w:w="0"/>
                    <w:left w:type="dxa" w:w="30"/>
                    <w:bottom w:type="dxa" w:w="0"/>
                    <w:right w:type="dxa" w:w="30"/>
                  </w:tcMar>
                </w:tcPr>
                <w:p>
                  <w:pPr>
                    <w:pStyle w:val="null3"/>
                    <w:jc w:val="center"/>
                  </w:pPr>
                  <w:r>
                    <w:rPr>
                      <w:rFonts w:ascii="仿宋_GB2312" w:hAnsi="仿宋_GB2312" w:cs="仿宋_GB2312" w:eastAsia="仿宋_GB2312"/>
                      <w:sz w:val="20"/>
                      <w:b/>
                      <w:color w:val="000000"/>
                    </w:rPr>
                    <w:t>序号</w:t>
                  </w:r>
                </w:p>
              </w:tc>
              <w:tc>
                <w:tcPr>
                  <w:tcW w:type="dxa" w:w="1412"/>
                  <w:vMerge w:val="restart"/>
                  <w:tcBorders>
                    <w:top w:val="single" w:color="000000" w:sz="4"/>
                    <w:left w:val="none" w:color="000000" w:sz="4"/>
                    <w:bottom w:val="single" w:color="000000" w:sz="4"/>
                    <w:right w:val="single" w:color="000000" w:sz="4"/>
                  </w:tcBorders>
                  <w:shd w:fill="FFFFFF"/>
                  <w:tcMar>
                    <w:top w:type="dxa" w:w="0"/>
                    <w:left w:type="dxa" w:w="30"/>
                    <w:bottom w:type="dxa" w:w="0"/>
                    <w:right w:type="dxa" w:w="30"/>
                  </w:tcMar>
                </w:tcPr>
                <w:p>
                  <w:pPr>
                    <w:pStyle w:val="null3"/>
                    <w:jc w:val="center"/>
                  </w:pPr>
                  <w:r>
                    <w:rPr>
                      <w:rFonts w:ascii="仿宋_GB2312" w:hAnsi="仿宋_GB2312" w:cs="仿宋_GB2312" w:eastAsia="仿宋_GB2312"/>
                      <w:sz w:val="20"/>
                      <w:b/>
                      <w:color w:val="000000"/>
                    </w:rPr>
                    <w:t>项  目</w:t>
                  </w:r>
                </w:p>
              </w:tc>
              <w:tc>
                <w:tcPr>
                  <w:tcW w:type="dxa" w:w="300"/>
                  <w:vMerge w:val="restart"/>
                  <w:tcBorders>
                    <w:top w:val="single" w:color="000000" w:sz="4"/>
                    <w:left w:val="none" w:color="000000" w:sz="4"/>
                    <w:bottom w:val="single" w:color="000000" w:sz="4"/>
                    <w:right w:val="single" w:color="000000" w:sz="4"/>
                  </w:tcBorders>
                  <w:shd w:fill="FFFFFF"/>
                  <w:tcMar>
                    <w:top w:type="dxa" w:w="0"/>
                    <w:left w:type="dxa" w:w="30"/>
                    <w:bottom w:type="dxa" w:w="0"/>
                    <w:right w:type="dxa" w:w="30"/>
                  </w:tcMar>
                </w:tcPr>
                <w:p>
                  <w:pPr>
                    <w:pStyle w:val="null3"/>
                    <w:jc w:val="center"/>
                  </w:pPr>
                  <w:r>
                    <w:rPr>
                      <w:rFonts w:ascii="仿宋_GB2312" w:hAnsi="仿宋_GB2312" w:cs="仿宋_GB2312" w:eastAsia="仿宋_GB2312"/>
                      <w:sz w:val="20"/>
                      <w:b/>
                      <w:color w:val="000000"/>
                    </w:rPr>
                    <w:t>男</w:t>
                  </w:r>
                </w:p>
              </w:tc>
              <w:tc>
                <w:tcPr>
                  <w:tcW w:type="dxa" w:w="510"/>
                  <w:gridSpan w:val="2"/>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b/>
                      <w:color w:val="000000"/>
                    </w:rPr>
                    <w:t>女</w:t>
                  </w:r>
                </w:p>
              </w:tc>
            </w:tr>
            <w:tr>
              <w:tc>
                <w:tcPr>
                  <w:tcW w:type="dxa" w:w="330"/>
                  <w:vMerge/>
                  <w:tcBorders>
                    <w:top w:val="single" w:color="000000" w:sz="4"/>
                    <w:left w:val="single" w:color="000000" w:sz="4"/>
                    <w:bottom w:val="single" w:color="000000" w:sz="4"/>
                    <w:right w:val="single" w:color="000000" w:sz="4"/>
                  </w:tcBorders>
                </w:tcPr>
                <w:p/>
              </w:tc>
              <w:tc>
                <w:tcPr>
                  <w:tcW w:type="dxa" w:w="1412"/>
                  <w:vMerge/>
                  <w:tcBorders>
                    <w:top w:val="single" w:color="000000" w:sz="4"/>
                    <w:left w:val="none" w:color="000000" w:sz="4"/>
                    <w:bottom w:val="single" w:color="000000" w:sz="4"/>
                    <w:right w:val="single" w:color="000000" w:sz="4"/>
                  </w:tcBorders>
                </w:tcPr>
                <w:p/>
              </w:tc>
              <w:tc>
                <w:tcPr>
                  <w:tcW w:type="dxa" w:w="300"/>
                  <w:vMerge/>
                  <w:tcBorders>
                    <w:top w:val="singl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shd w:fill="FFFFFF"/>
                  <w:tcMar>
                    <w:top w:type="dxa" w:w="0"/>
                    <w:left w:type="dxa" w:w="30"/>
                    <w:bottom w:type="dxa" w:w="0"/>
                    <w:right w:type="dxa" w:w="30"/>
                  </w:tcMar>
                </w:tcPr>
                <w:p>
                  <w:pPr>
                    <w:pStyle w:val="null3"/>
                    <w:jc w:val="center"/>
                  </w:pPr>
                  <w:r>
                    <w:rPr>
                      <w:rFonts w:ascii="仿宋_GB2312" w:hAnsi="仿宋_GB2312" w:cs="仿宋_GB2312" w:eastAsia="仿宋_GB2312"/>
                      <w:sz w:val="20"/>
                      <w:b/>
                      <w:color w:val="000000"/>
                    </w:rPr>
                    <w:t>未婚</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b/>
                      <w:color w:val="000000"/>
                    </w:rPr>
                    <w:t>已婚</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建立健康档案</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2</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一般检查（血压、身高、体重）</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3</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内科、外科</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4</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眼科（视力辨色力、眼压、眼底照相、裂隙灯、人工智能视网膜筛查）</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5</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血常规</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6</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尿常规</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7</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肝功十项</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8</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乙肝五项</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9</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空腹血糖</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10</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血脂四项</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11</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肾功四项</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12</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甲功五项</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13</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肿瘤普查：甲胎蛋白（AFP）定量、癌胚抗原（CEA）定量</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14</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幽门螺旋杆菌 C14检测</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15</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胸部CT</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16</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颈椎正侧位片</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17</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心电图</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18</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甲状腺彩超</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19</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经颅多普勒</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20</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0"/>
                      <w:color w:val="000000"/>
                    </w:rPr>
                    <w:t>腹部彩超（男性）(肝、胆、脾、胰、双肾、前列腺、输尿管、膀胱)</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21</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腹部彩超（女性）(肝、胆、脾、胰、双肾、子宫、附件、输尿管膀胱）</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22</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乳腺彩超（女性）</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23</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妇科常规检查</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330"/>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jc w:val="center"/>
                  </w:pPr>
                  <w:r>
                    <w:rPr>
                      <w:rFonts w:ascii="仿宋_GB2312" w:hAnsi="仿宋_GB2312" w:cs="仿宋_GB2312" w:eastAsia="仿宋_GB2312"/>
                      <w:sz w:val="20"/>
                      <w:color w:val="000000"/>
                    </w:rPr>
                    <w:t>24</w:t>
                  </w:r>
                </w:p>
              </w:tc>
              <w:tc>
                <w:tcPr>
                  <w:tcW w:type="dxa" w:w="1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pPr>
                  <w:r>
                    <w:rPr>
                      <w:rFonts w:ascii="仿宋_GB2312" w:hAnsi="仿宋_GB2312" w:cs="仿宋_GB2312" w:eastAsia="仿宋_GB2312"/>
                      <w:sz w:val="20"/>
                      <w:color w:val="000000"/>
                    </w:rPr>
                    <w:t>宫颈液基细胞学检测TCT（已婚女性）</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w:t>
                  </w:r>
                </w:p>
              </w:tc>
            </w:tr>
            <w:tr>
              <w:tc>
                <w:tcPr>
                  <w:tcW w:type="dxa" w:w="1742"/>
                  <w:gridSpan w:val="2"/>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最高限价（元/人）</w:t>
                  </w:r>
                </w:p>
              </w:tc>
              <w:tc>
                <w:tcPr>
                  <w:tcW w:type="dxa" w:w="30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1000</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1000</w:t>
                  </w:r>
                </w:p>
              </w:tc>
              <w:tc>
                <w:tcPr>
                  <w:tcW w:type="dxa" w:w="25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1000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供应商营业地址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所有人员体检完成并交付体检报告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体检服务完成或达到合同履行期限 ，达到付款条件起30日内，支付合同总金额的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供应商务必在响应文件提交截止时间30分钟前，通过项目电子化交易系统进行签到，如未进行签到，产生的一起后果由供应商自行承担。2、磋商时无需提供纸质响应文件， 成交供应商在领取中标通知书时提供纸质响应文件两份，纸质版文件须是电子化交易平台系统生成的响应文件。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须赋可查询的验证编号或验证二维码且开标日期在验证有效期内）。</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供应商应提供的相关资格证明材料.docx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供应商应具有卫生行政部门颁发的《医疗机构执业许可证》及《放射诊疗许可证》（诊疗科目中有开展健康体检服务的科目）</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投权委托书和被投权人的有效身份证件(法人参与投标时须提供身份证明)，以及法定代表人(法人参与投标时提供)或被授权人在开标日期前六个月内任意三个月的社保缴纳证明(须赋可查询的验证编号或验证二维码且开标日期在验证有效期内)。</w:t>
            </w:r>
          </w:p>
        </w:tc>
        <w:tc>
          <w:tcPr>
            <w:tcW w:type="dxa" w:w="1661"/>
          </w:tcPr>
          <w:p>
            <w:pPr>
              <w:pStyle w:val="null3"/>
            </w:pPr>
            <w:r>
              <w:rPr>
                <w:rFonts w:ascii="仿宋_GB2312" w:hAnsi="仿宋_GB2312" w:cs="仿宋_GB2312" w:eastAsia="仿宋_GB2312"/>
              </w:rPr>
              <w:t>供应商应提供的相关资格证明材料.docx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磋商报价不超过采购预算及最高限价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服务方案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供应商应提供的相关资格证明材料.docx 响应文件封面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1、对项目的需求分析，体检机构接待能力及相关介绍。 2、具有独立的体检中心或场所，避免受检者和患者共检； 3、体检流程、体检时间安排安排周密，体检总体服务方案完善； 4、体检流程图清晰易懂，导诊措施能实现体检的方便快捷、高效有序； 5、内部管理制度完善； 6、根据学校教职工体检时间和批次，提供车辆接送服务方案； 7、体检结果质量保证措施； 8、体检发现疾病疾病的后续服务方案； 9、投诉渠道及处理流程； 10、隐私保护措施； 11、健康管理建议； 12、健康风险评估等七大要素。 二、评审标准： 以上评审内容每一项满分5分，按如下标准赋分： 服务内容提供具体详细的实施方案，方案总体思路清晰，实施方法及工作安排合理，涵盖内容全面，针对性操作性强得5分；服务内容提供具体详细的实施方案，方案总体思路清晰，实施方法及工作安排合理，涵盖内容全面，针对性操作性欠缺得4分；服务内容提供较为具体的实施方案，方案总体思路较清晰，实施方法及工作安排较合理，涵盖内容较全面，无针对性得3分；方案内容简单笼统，实施难度大的得2分。方案内容简单笼统，实施难度大的得1分；方案内容严重缺项，或不符合本项目需求的得0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1、供应商为本项目服务的医务人员的数量、职称、工作经验、从医年限； 二、评审标准： 以上评审内容每一项满分10分，按如下标准赋分： 专门针对本项目编制，符合项目实际情况及实施要求，人员配备合理完善，能够保障项目顺利实施的，得10分； 专门针对本项目编制，符合项目实际情况及实施要求，人员配备基本合理，有一定的合理性和可行性的，得7分； 人员配置基本符合项目实际情况及实施要求，基本合理可行的，得5分； 人员配置基本符合项目实际情况及实施要求，但存在明显缺陷，得3分； 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仪器设备配置</w:t>
            </w:r>
          </w:p>
        </w:tc>
        <w:tc>
          <w:tcPr>
            <w:tcW w:type="dxa" w:w="2492"/>
          </w:tcPr>
          <w:p>
            <w:pPr>
              <w:pStyle w:val="null3"/>
            </w:pPr>
            <w:r>
              <w:rPr>
                <w:rFonts w:ascii="仿宋_GB2312" w:hAnsi="仿宋_GB2312" w:cs="仿宋_GB2312" w:eastAsia="仿宋_GB2312"/>
              </w:rPr>
              <w:t>一、评审内容： 1、供应商拟投入本项目分析仪器类检测设备的具体情况、购置年限、数量、技术可靠性和先进性（注：需提供详细的设备清单并附相关设备的照片）； 2、供应商拟投入本项目影像类检测设备的具体情况、购置年限、数量、技术可靠性和先进性（注：需提供详细的设备清单并附相关设备的照片）。 二、评审标准： 以上评审内容每一项满分5分，按如下标准赋分：拟投入仪器设备先进，配置齐全、功能描述详细全面，具有针对性和可实施性，完全满足采购需求，能有效保障本项目实施并能够满足后续深度复检及诊断的得5分；拟投入仪器设备比较先进，配置基本齐全、功能描述详细全面，具有一定针对性和可实施性，满足采购需求，能有效保障本项目实施并能够满足后续深度复检及诊断的得4分；拟投入仪器设备一般，配置基本齐全、功能描述基本全面，具有一定针对性和可实施性，基本满足采购需求，能基本保障本项目实施的得3分；拟投入仪器设备较老旧，配置满足基本要求，能勉强满足本项目实施的得2分；仪器设备较老旧且配置不齐，无法满足项目实施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突发性事件处理方案</w:t>
            </w:r>
          </w:p>
        </w:tc>
        <w:tc>
          <w:tcPr>
            <w:tcW w:type="dxa" w:w="2492"/>
          </w:tcPr>
          <w:p>
            <w:pPr>
              <w:pStyle w:val="null3"/>
            </w:pPr>
            <w:r>
              <w:rPr>
                <w:rFonts w:ascii="仿宋_GB2312" w:hAnsi="仿宋_GB2312" w:cs="仿宋_GB2312" w:eastAsia="仿宋_GB2312"/>
              </w:rPr>
              <w:t>一、评审内容： 1、针对体检过程中发生的特殊情况（如被体检人；①晕针②晕血；③低血糖；④仪器伤害等情形；⑤突发疾病等）制定具有针对性强的处理应急预案包含但不限于：配备应急处置反应时效、设备、药品、人员、场所等。 二、评审标准： 以上评审内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