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版本号：SCZE2025-CS-3141-00120251126001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曲江新区北池头一路和北池头二路及周边排水防涝设施整治改造项目（2024-2025年）基坑监测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SCZE2025-CS-3141-001</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曲江新区北池头一路和北池头二路及周边排水防涝设施整治改造项目（2024-2025年）基坑监测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SCZE2025-CS-3141-001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曲江新区北池头一路和北池头二路及周边排水防涝设施整治改造项目（2024-2025年）基坑监测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曲江新区北池头一路和北池头二路及周边排水防涝设施整治改造项目(2024-2025年)基坑监测，包含水平位移、竖向位移、周边地表沉降和周边管线沉降。具体采购内容详见采购需求。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采购包1（曲江新区北池头一路和北池头二路及周边排水防涝设施整治改造项目(2024-2025年)基坑监测）：属于专门面向中小企业采购。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情况：供应商具有有效的营业执照，具备建设主管部门核发的工程勘察综合类甲级或工程勘察专业（工程测量）乙级及以上级资质或测绘乙级及以上资质（范围须包含工程测量）。拟派项目负责人具备注册测绘师资格或注册土木工程师（岩土）或相关专业工程师及以上职称。</w:t>
      </w:r>
    </w:p>
    <w:p>
      <w:pPr>
        <w:pStyle w:val="null3"/>
      </w:pPr>
      <w:r>
        <w:rPr>
          <w:rFonts w:ascii="仿宋_GB2312" w:hAnsi="仿宋_GB2312" w:cs="仿宋_GB2312" w:eastAsia="仿宋_GB2312"/>
        </w:rPr>
        <w:t>2、授权委托书或法人身份证明：法定代表人或单位负责人参加磋商的，应提供法定代表人或单位负责人身份证明； 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3、“信用中国”网站和中国政府采购网（www.ccgp.gov.cn）查询记录：供应商未被列入“信用中国”网站(www.creditchina.gov.cn)“失信被执行人”、“重大税收违法失信主体”记录名单；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18530761601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西安市高新区锦业一路1号都市之门9层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采购包1：462,720.00元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代理服务费收费标准：1.成交服务费参照《国家计委关于印发&lt;招标代理服务收费管理暂行办法&gt;的通知》（计价格[2002]1980号）规定标准收取。 2.成交单位的代理服务费交纳信息： 银行户名：陕西省采购招标有限责任公司，开户银行：中国光大银行西安友谊路支行， 账号：78560188000095264， 联系人：财务部， 联系电话：029-85256853。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地址：西安市雁塔区锦业一路都市之门C座9层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曲江新区北池头一路和北池头二路及周边排水防涝设施整治改造项目(2024-2025年)基坑监测，包含水平位移、竖向位移、周边地表沉降和周边管线沉降。具体采购内容详见采购需求。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462,720.00</w:t>
      </w:r>
    </w:p>
    <w:p>
      <w:pPr>
        <w:pStyle w:val="null3"/>
      </w:pPr>
      <w:r>
        <w:rPr>
          <w:rFonts w:ascii="仿宋_GB2312" w:hAnsi="仿宋_GB2312" w:cs="仿宋_GB2312" w:eastAsia="仿宋_GB2312"/>
        </w:rPr>
        <w:t>采购包最高限价（元）: 404,360.00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曲江新区北池头一路和北池头二路及周边排水防涝设施整治改造项目（2024-2025年）基坑监测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462,720.00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标的名称：曲江新区北池头一路和北池头二路及周边排水防涝设施整治改造项目（2024-2025年）基坑监测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1.顶管基坑监测明细表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rPr>
                    <w:t xml:space="preserve">顶管基坑监测清单                               </w:t>
                  </w:r>
                </w:p>
              </w:tc>
            </w:tr>
            <w:tr>
              <w:tc>
                <w:tcPr>
                  <w:tcW w:type="dxa" w:w="2555"/>
                  <w:gridSpan w:val="5"/>
                </w:tcPr>
                <w:p>
                  <w:pPr>
                    <w:pStyle w:val="null3"/>
                  </w:pPr>
                  <w:r>
                    <w:rPr>
                      <w:rFonts w:ascii="仿宋_GB2312" w:hAnsi="仿宋_GB2312" w:cs="仿宋_GB2312" w:eastAsia="仿宋_GB2312"/>
                    </w:rPr>
                    <w:t>YA1顶管工作坑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YA3顶管工作坑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YA5顶管工作坑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YA7顶管工作坑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YB4顶管工作坑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YC2顶管工作坑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YC4顶管工作坑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YC6顶管工作坑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A×B=8000×6000mm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YB1顶管工作坑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A×B=8000×8000mm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YB2顶管工作坑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A×B=8000×8000mm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YA2顶管接收坑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YA4顶管接收坑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YA6顶管接收坑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YB3顶管接收坑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YC3顶管接收坑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YC5顶管接收坑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A×B=6000×4200mm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YA1-7顶管接收坑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A×B=3600×2630mm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周边地表沉降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YA8顶管接收坑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val="restart"/>
                </w:tcPr>
                <w:p>
                  <w:pPr>
                    <w:pStyle w:val="null3"/>
                  </w:pPr>
                  <w:r>
                    <w:rPr>
                      <w:rFonts w:ascii="仿宋_GB2312" w:hAnsi="仿宋_GB2312" w:cs="仿宋_GB2312" w:eastAsia="仿宋_GB2312"/>
                    </w:rPr>
                    <w:t>尺寸为 A×B=11000×7000mm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周边地表沉降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周边管线沉降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2555"/>
                  <w:gridSpan w:val="5"/>
                </w:tcPr>
                <w:p>
                  <w:pPr>
                    <w:pStyle w:val="null3"/>
                  </w:pPr>
                  <w:r>
                    <w:rPr>
                      <w:rFonts w:ascii="仿宋_GB2312" w:hAnsi="仿宋_GB2312" w:cs="仿宋_GB2312" w:eastAsia="仿宋_GB2312"/>
                    </w:rPr>
                    <w:t>YA9顶管接收坑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val="restart"/>
                </w:tcPr>
                <w:p>
                  <w:pPr>
                    <w:pStyle w:val="null3"/>
                  </w:pPr>
                  <w:r>
                    <w:rPr>
                      <w:rFonts w:ascii="仿宋_GB2312" w:hAnsi="仿宋_GB2312" w:cs="仿宋_GB2312" w:eastAsia="仿宋_GB2312"/>
                    </w:rPr>
                    <w:t>尺寸为 A×B=11000×7000mm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周边地表沉降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周边管线沉降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2555"/>
                  <w:gridSpan w:val="5"/>
                </w:tcPr>
                <w:p>
                  <w:pPr>
                    <w:pStyle w:val="null3"/>
                  </w:pPr>
                  <w:r>
                    <w:rPr>
                      <w:rFonts w:ascii="仿宋_GB2312" w:hAnsi="仿宋_GB2312" w:cs="仿宋_GB2312" w:eastAsia="仿宋_GB2312"/>
                    </w:rPr>
                    <w:t>YB5顶管接收坑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A×B=8000×4200mm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YC1顶管接收坑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尺寸为 10000×4200mm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15</w:t>
                  </w:r>
                </w:p>
              </w:tc>
              <w:tc>
                <w:tcPr>
                  <w:tcW w:type="dxa" w:w="511"/>
                  <w:vMerge/>
                </w:tcPr>
                <w:p/>
              </w:tc>
            </w:tr>
            <w:tr>
              <w:tc>
                <w:tcPr>
                  <w:tcW w:type="dxa" w:w="2555"/>
                  <w:gridSpan w:val="5"/>
                </w:tcPr>
                <w:p>
                  <w:pPr>
                    <w:pStyle w:val="null3"/>
                  </w:pPr>
                  <w:r>
                    <w:rPr>
                      <w:rFonts w:ascii="仿宋_GB2312" w:hAnsi="仿宋_GB2312" w:cs="仿宋_GB2312" w:eastAsia="仿宋_GB2312"/>
                    </w:rPr>
                    <w:t>YC7顶管接收坑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项目内容</w:t>
                  </w:r>
                </w:p>
              </w:tc>
              <w:tc>
                <w:tcPr>
                  <w:tcW w:type="dxa" w:w="511"/>
                </w:tcPr>
                <w:p>
                  <w:pPr>
                    <w:pStyle w:val="null3"/>
                  </w:pPr>
                  <w:r>
                    <w:rPr>
                      <w:rFonts w:ascii="仿宋_GB2312" w:hAnsi="仿宋_GB2312" w:cs="仿宋_GB2312" w:eastAsia="仿宋_GB2312"/>
                    </w:rPr>
                    <w:t>监测点数</w:t>
                  </w:r>
                </w:p>
              </w:tc>
              <w:tc>
                <w:tcPr>
                  <w:tcW w:type="dxa" w:w="511"/>
                </w:tcPr>
                <w:p>
                  <w:pPr>
                    <w:pStyle w:val="null3"/>
                  </w:pPr>
                  <w:r>
                    <w:rPr>
                      <w:rFonts w:ascii="仿宋_GB2312" w:hAnsi="仿宋_GB2312" w:cs="仿宋_GB2312" w:eastAsia="仿宋_GB2312"/>
                    </w:rPr>
                    <w:t>监测次数</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基坑水平位移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val="restart"/>
                </w:tcPr>
                <w:p>
                  <w:pPr>
                    <w:pStyle w:val="null3"/>
                  </w:pPr>
                  <w:r>
                    <w:rPr>
                      <w:rFonts w:ascii="仿宋_GB2312" w:hAnsi="仿宋_GB2312" w:cs="仿宋_GB2312" w:eastAsia="仿宋_GB2312"/>
                    </w:rPr>
                    <w:t>尺寸为 A×B=10000×7000 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基坑竖向位移</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基准网</w:t>
                  </w:r>
                </w:p>
              </w:tc>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周边地表沉降</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40</w:t>
                  </w:r>
                </w:p>
              </w:tc>
              <w:tc>
                <w:tcPr>
                  <w:tcW w:type="dxa" w:w="511"/>
                  <w:vMerge/>
                </w:tcP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周边管线沉降</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40</w:t>
                  </w:r>
                </w:p>
              </w:tc>
              <w:tc>
                <w:tcPr>
                  <w:tcW w:type="dxa" w:w="511"/>
                  <w:vMerge/>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2.实施内容</w:t>
            </w:r>
          </w:p>
          <w:p>
            <w:pPr>
              <w:pStyle w:val="null3"/>
            </w:pPr>
            <w:r>
              <w:rPr>
                <w:rFonts w:ascii="仿宋_GB2312" w:hAnsi="仿宋_GB2312" w:cs="仿宋_GB2312" w:eastAsia="仿宋_GB2312"/>
              </w:rPr>
              <w:t>根据相关规范及本项目的设计文件要求完成本项目的基坑变形监测，包括基坑水平位移、基坑竖向位移、基准网、周边地表沉降、周边管线沉降。监测期间每次观测均应向建设及设计单位提供中间资料,工程结束时应提交完整监测报告。</w:t>
            </w:r>
          </w:p>
          <w:p>
            <w:pPr>
              <w:pStyle w:val="null3"/>
            </w:pPr>
            <w:r>
              <w:rPr>
                <w:rFonts w:ascii="仿宋_GB2312" w:hAnsi="仿宋_GB2312" w:cs="仿宋_GB2312" w:eastAsia="仿宋_GB2312"/>
              </w:rPr>
              <w:t>工作内容应符合相关法律法规、技术规范、标准等及相关主管部门的要求。最终监测点位及频次，结合施工图设计文件、现场实际情况，依据监测相关规范进行布设。</w:t>
            </w:r>
          </w:p>
          <w:p>
            <w:pPr>
              <w:pStyle w:val="null3"/>
            </w:pPr>
            <w:r>
              <w:rPr>
                <w:rFonts w:ascii="仿宋_GB2312" w:hAnsi="仿宋_GB2312" w:cs="仿宋_GB2312" w:eastAsia="仿宋_GB2312"/>
              </w:rPr>
              <w:t>3.技术要求</w:t>
            </w:r>
          </w:p>
          <w:p>
            <w:pPr>
              <w:pStyle w:val="null3"/>
            </w:pPr>
            <w:r>
              <w:rPr>
                <w:rFonts w:ascii="仿宋_GB2312" w:hAnsi="仿宋_GB2312" w:cs="仿宋_GB2312" w:eastAsia="仿宋_GB2312"/>
              </w:rPr>
              <w:t>结合项目设计文件以及施工现场的实际情况，编制、申报监测方案，并确保监测方案符合有关规范、工程所在行政区域的相关建设行政主管部门和监督部门的要求，保证技术成果能够通过相关部门认可，确保不因监测工作影响本工程项目的建设进度和竣工验收。</w:t>
            </w:r>
          </w:p>
          <w:p>
            <w:pPr>
              <w:pStyle w:val="null3"/>
            </w:pPr>
            <w:r>
              <w:rPr>
                <w:rFonts w:ascii="仿宋_GB2312" w:hAnsi="仿宋_GB2312" w:cs="仿宋_GB2312" w:eastAsia="仿宋_GB2312"/>
              </w:rPr>
              <w:t>3.1基坑监测要求</w:t>
            </w:r>
          </w:p>
          <w:p>
            <w:pPr>
              <w:pStyle w:val="null3"/>
            </w:pPr>
            <w:r>
              <w:rPr>
                <w:rFonts w:ascii="仿宋_GB2312" w:hAnsi="仿宋_GB2312" w:cs="仿宋_GB2312" w:eastAsia="仿宋_GB2312"/>
              </w:rPr>
              <w:t>（1）监测频率应根据基坑工程等级、施工进度、周边环境变化等因素综合确定。在开挖期间，通常应加密监测。</w:t>
            </w:r>
          </w:p>
          <w:p>
            <w:pPr>
              <w:pStyle w:val="null3"/>
            </w:pPr>
            <w:r>
              <w:rPr>
                <w:rFonts w:ascii="仿宋_GB2312" w:hAnsi="仿宋_GB2312" w:cs="仿宋_GB2312" w:eastAsia="仿宋_GB2312"/>
              </w:rPr>
              <w:t>（2）监测精度应满足相关规范和设计要求，确保监测数据的准确性和可靠性。</w:t>
            </w:r>
          </w:p>
          <w:p>
            <w:pPr>
              <w:pStyle w:val="null3"/>
            </w:pPr>
            <w:r>
              <w:rPr>
                <w:rFonts w:ascii="仿宋_GB2312" w:hAnsi="仿宋_GB2312" w:cs="仿宋_GB2312" w:eastAsia="仿宋_GB2312"/>
              </w:rPr>
              <w:t>（3）每次监测应做好记录，及时整理和分析监测数据，绘制变化曲线。</w:t>
            </w:r>
          </w:p>
          <w:p>
            <w:pPr>
              <w:pStyle w:val="null3"/>
            </w:pPr>
            <w:r>
              <w:rPr>
                <w:rFonts w:ascii="仿宋_GB2312" w:hAnsi="仿宋_GB2312" w:cs="仿宋_GB2312" w:eastAsia="仿宋_GB2312"/>
              </w:rPr>
              <w:t>（4）当监测数据达到或超过预警值时，应立即报警，并采取相应的应急措施。</w:t>
            </w:r>
          </w:p>
          <w:p>
            <w:pPr>
              <w:pStyle w:val="null3"/>
            </w:pPr>
            <w:r>
              <w:rPr>
                <w:rFonts w:ascii="仿宋_GB2312" w:hAnsi="仿宋_GB2312" w:cs="仿宋_GB2312" w:eastAsia="仿宋_GB2312"/>
              </w:rPr>
              <w:t>（5）监测工作应持续至基坑回填完成。</w:t>
            </w:r>
          </w:p>
          <w:p>
            <w:pPr>
              <w:pStyle w:val="null3"/>
            </w:pPr>
            <w:r>
              <w:rPr>
                <w:rFonts w:ascii="仿宋_GB2312" w:hAnsi="仿宋_GB2312" w:cs="仿宋_GB2312" w:eastAsia="仿宋_GB2312"/>
              </w:rPr>
              <w:t>4.其他要求</w:t>
            </w:r>
          </w:p>
          <w:p>
            <w:pPr>
              <w:pStyle w:val="null3"/>
            </w:pPr>
            <w:r>
              <w:rPr>
                <w:rFonts w:ascii="仿宋_GB2312" w:hAnsi="仿宋_GB2312" w:cs="仿宋_GB2312" w:eastAsia="仿宋_GB2312"/>
              </w:rPr>
              <w:t>（1）监测方案：监测人进场后提交深基坑监测方案，并报监理和委托人进行审批。</w:t>
            </w:r>
          </w:p>
          <w:p>
            <w:pPr>
              <w:pStyle w:val="null3"/>
            </w:pPr>
            <w:r>
              <w:rPr>
                <w:rFonts w:ascii="仿宋_GB2312" w:hAnsi="仿宋_GB2312" w:cs="仿宋_GB2312" w:eastAsia="仿宋_GB2312"/>
              </w:rPr>
              <w:t>（2）报告出具：监测人需出具过程版监测报告，完成全部监测工作后出具最终监测报告。</w:t>
            </w:r>
          </w:p>
          <w:p>
            <w:pPr>
              <w:pStyle w:val="null3"/>
            </w:pPr>
            <w:r>
              <w:rPr>
                <w:rFonts w:ascii="仿宋_GB2312" w:hAnsi="仿宋_GB2312" w:cs="仿宋_GB2312" w:eastAsia="仿宋_GB2312"/>
              </w:rPr>
              <w:t>（3）监测人在每次监测完成后应及时出具监测报告。</w:t>
            </w:r>
          </w:p>
          <w:p>
            <w:pPr>
              <w:pStyle w:val="null3"/>
            </w:pPr>
            <w:r>
              <w:rPr>
                <w:rFonts w:ascii="仿宋_GB2312" w:hAnsi="仿宋_GB2312" w:cs="仿宋_GB2312" w:eastAsia="仿宋_GB2312"/>
              </w:rPr>
              <w:t>5.服务期：开始工作直至回填完成。暂定120日历天。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配备的监测人员需符合相关国家标准、规范要求。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开始工作直至回填完成。暂定120日历天。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曲江新区北池头一路和北池头二路及周边。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参与验收的供应商或者第三方机构的意见作为验收书的参考资料一并存档。 2、最终验收：最终验收结果作为付款依据，乙方填写验收单，并向甲方提交实施过程中的所有资料，以便甲方日后管理和维护。 3、验收依据： 3.1合同文本、合同附件、竞争性磋商文件、成交供应商的响应文件。 3.2国内相应的标准、规范。 3.3其他适用的依据。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本项目无预付款。进度款根据实际监测次数据实拨付，乙方于每月20日前向甲方报送当月已完成合格工程量进度表，甲方审核后，且乙方提供满足甲方要求的增值税发票及收据后，按完成工作量的80%支付进度款。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待整体监测工作完成后，出具符合要求的监测报告，达到付款条件起60 日内，支付至结算金额的 100.00%。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供应商应提供的资格证明文件.docx 中小企业声明函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提供了法人代表、控股股东、控股企业及管理、被管理单位情况声明且各供应商之间不存在单位负责人为同一人或者存在控股、管理关系的情形； 提供了供应商未为本项目提供整体设计、规范编制或者项目管理、监理、检测等服务的声明。</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供应商具有有效的营业执照，具备建设主管部门核发的工程勘察综合类甲级或工程勘察专业（工程测量）乙级及以上级资质或测绘乙级及以上资质（范围须包含工程测量）。拟派项目负责人具备注册测绘师资格或注册土木工程师（岩土）或相关专业工程师及以上职称。</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 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最终报价表.docx 供应商应提供的资格证明文件.docx 分项报价表（首次）.docx 中小企业声明函 报价表 商务应答表.docx 响应文件封面 残疾人福利性单位声明函 拒绝政府采购领域商业贿赂承诺书.docx 标的清单 服务内容及服务邀请应答表.docx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供应商应提供的资格证明文件.docx 分项报价表（首次）.docx 中小企业声明函 商务应答表.docx 响应文件封面 残疾人福利性单位声明函 拒绝政府采购领域商业贿赂承诺书.docx 标的清单 服务内容及服务邀请应答表.docx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供应商报价未超过预算金额（磋商文件有最高限价的，报价未超过最高限价）。</w:t>
            </w:r>
          </w:p>
        </w:tc>
        <w:tc>
          <w:tcPr>
            <w:tcW w:type="dxa" w:w="1661"/>
          </w:tcPr>
          <w:p>
            <w:pPr>
              <w:pStyle w:val="null3"/>
            </w:pPr>
            <w:r>
              <w:rPr>
                <w:rFonts w:ascii="仿宋_GB2312" w:hAnsi="仿宋_GB2312" w:cs="仿宋_GB2312" w:eastAsia="仿宋_GB2312"/>
              </w:rPr>
              <w:t>最终报价表.docx 供应商应提供的资格证明文件.docx 分项报价表（首次）.docx 中小企业声明函 商务应答表.docx 响应文件封面 残疾人福利性单位声明函 拒绝政府采购领域商业贿赂承诺书.docx 标的清单 服务内容及服务邀请应答表.docx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最终报价表.docx 供应商应提供的资格证明文件.docx 分项报价表（首次）.docx 中小企业声明函 商务应答表.docx 响应文件封面 残疾人福利性单位声明函 拒绝政府采购领域商业贿赂承诺书.docx 标的清单 服务内容及服务邀请应答表.docx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无实质性偏离</w:t>
            </w:r>
          </w:p>
        </w:tc>
        <w:tc>
          <w:tcPr>
            <w:tcW w:type="dxa" w:w="1661"/>
          </w:tcPr>
          <w:p>
            <w:pPr>
              <w:pStyle w:val="null3"/>
            </w:pPr>
            <w:r>
              <w:rPr>
                <w:rFonts w:ascii="仿宋_GB2312" w:hAnsi="仿宋_GB2312" w:cs="仿宋_GB2312" w:eastAsia="仿宋_GB2312"/>
              </w:rPr>
              <w:t>最终报价表.docx 供应商应提供的资格证明文件.docx 分项报价表（首次）.docx 中小企业声明函 商务应答表.docx 响应文件封面 残疾人福利性单位声明函 拒绝政府采购领域商业贿赂承诺书.docx 标的清单 服务内容及服务邀请应答表.docx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1.评审内容 提供针对本项目的服务方案，内容包含：①工作目标解析；②管理制度；③保障措施；④工作方法；⑤实施标准；⑥技术报告编写；⑦与采购人的沟通改进措施。 2.评审标准 完整性：方案须全面，对评审内容中的各项要求描述详细； 可实施性：切合本项目 实际情况，实施步骤清晰、合理、可实现； 针对性：方案能够紧扣项目具体情况，不能套搬、脱离具体实际，内容科学合理。 3.赋分依据（满分21分） 上述评审内容①-⑦：每完全满足一个评审标准得 1分，不满足不得分，满分21分。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1.评审内容 提供针对本项目的①重点、难点分析；②解决措施。 2.评审标准 完整性：描述须全面，对评审内容中的各项要求描述详细； 可实施性：切合本项目实际情况，实施步骤清晰、合理、可实现； 针对性：描述能够紧扣项目具体情况，不能套搬、脱离具体实际，内容科学合理。 3.赋分依据（满分15分）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项目实施进度计划及安排</w:t>
            </w:r>
          </w:p>
        </w:tc>
        <w:tc>
          <w:tcPr>
            <w:tcW w:type="dxa" w:w="2492"/>
          </w:tcPr>
          <w:p>
            <w:pPr>
              <w:pStyle w:val="null3"/>
            </w:pPr>
            <w:r>
              <w:rPr>
                <w:rFonts w:ascii="仿宋_GB2312" w:hAnsi="仿宋_GB2312" w:cs="仿宋_GB2312" w:eastAsia="仿宋_GB2312"/>
              </w:rPr>
              <w:t>1.评审内容 提供针对本项目的①现场调查进度计划安排；②总结报告进度计划安排；③及时提供成果报告的保障措施。 2.评审标准 完整性：计划及安排须全面，对评审内容中的各项要求描述详细； 可实施性：切合本项目实际情况，实施步骤清晰、合理、可实现； 针对性：计划及安排能够紧扣项目具体情况，不能套搬、脱离具体实际，内容科学合理。 3.赋分依据（满分9分） 上述评审内容①-③：每完全满足一个评审标准得1分，不满足不得分，满分9分；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工作制度、 工作流程</w:t>
            </w:r>
          </w:p>
        </w:tc>
        <w:tc>
          <w:tcPr>
            <w:tcW w:type="dxa" w:w="2492"/>
          </w:tcPr>
          <w:p>
            <w:pPr>
              <w:pStyle w:val="null3"/>
            </w:pPr>
            <w:r>
              <w:rPr>
                <w:rFonts w:ascii="仿宋_GB2312" w:hAnsi="仿宋_GB2312" w:cs="仿宋_GB2312" w:eastAsia="仿宋_GB2312"/>
              </w:rPr>
              <w:t>1.评审内容 提供针对本项目的①工作制度；②工作流程。 2.评审标准 完整性：制度及流程须全面，对评审内容中的各项要求描述详细； 可实施性：切合本项目实际情况，实施步骤清晰、合理、可实现； 针对性：制度及流程能够紧扣项目具体情况，不能套搬、脱离具体实际，内容科学合理。 3.赋分依据（满分6分） 上述评审内容①-②：每完全满足一个评审标准得1分，不满足不得分，满分6分。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 提供针对本项目的①疑难问题解答；②应急常识宣传及预案演练;③应急响应安排。 2.评审标准 完整性：方案须全面，对评审内容中的各项要求描述详细； 可实施性：切合本项目 实际情况，实施步骤清晰、合理、可实现； 针对性：方案能够紧扣项目具体情况，不能套搬、脱离具体实际，内容科学合理。 3.赋分依据（满分9分） 上述评审内容①-③：每完全满足一个评审标准得 1分，不满足不得分，满分9分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人员配备及管理制度</w:t>
            </w:r>
          </w:p>
        </w:tc>
        <w:tc>
          <w:tcPr>
            <w:tcW w:type="dxa" w:w="2492"/>
          </w:tcPr>
          <w:p>
            <w:pPr>
              <w:pStyle w:val="null3"/>
            </w:pPr>
            <w:r>
              <w:rPr>
                <w:rFonts w:ascii="仿宋_GB2312" w:hAnsi="仿宋_GB2312" w:cs="仿宋_GB2312" w:eastAsia="仿宋_GB2312"/>
              </w:rPr>
              <w:t>1.评审内容 提供针对本项目的人员配备方案，内容包含：括①团队人员配置清单;②岗位职责安排;③团队管理制度(人员管理,任务分派,团队监督机制等);④人员培训;⑤团队监管机制等。 2.评审标准 完整性：描述须全面，对评审内容中的各项要求描述详细； 可实施性：切合本项目实际情况，实施步骤清晰、合理、可实现； 针对性：能够紧扣项目具体情况，不能套搬、脱离具体实际，内容科学合理。 3.赋分依据（满分21分） 上述评审内容①-⑤：每完全满足一个评审标准得1分，不满足不得分，满分15分。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针对本项目的设备配备数量及先进程度，满足项目需求。 1.设备配备数量充足，自动化及先进程度高，完全满足项目需求，得6分； 2.设备配备数量较充足，自动化及先进程度较高，较能满足项目需求得4分； 3.设备配备数量不足，自动化及先进程度不高，但能满足项目基本需求，得2分；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2022年1月1日以来承接过类似项目的合同证明（以合同的签订日期为准）（每提供一个得5分，满分10分）。 （合同内容须清晰可辨认，无涂改，否则视为无效合同）。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合理化建议符合项目实际，满足需求。 1.合理化建议内容完整、描述清晰，可行性强，得3分。 2.合理化建议内容较完整，可操作性较强，得2分。 3.合理化建议内容有缺失，不够具体，得1分。 4.不满足项目要求或未提供不计分。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分项报价表（首次）.docx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供应商应提供的资格证明文件.docx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最终报价表.docx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详见附件：分项报价表（首次）.docx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详见附件：项目基坑变形监测合同.docx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