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EFEF0">
      <w:pPr>
        <w:keepNext w:val="0"/>
        <w:keepLines w:val="0"/>
        <w:pageBreakBefore w:val="0"/>
        <w:widowControl w:val="0"/>
        <w:kinsoku/>
        <w:wordWrap/>
        <w:overflowPunct/>
        <w:topLinePunct w:val="0"/>
        <w:autoSpaceDE/>
        <w:autoSpaceDN/>
        <w:bidi w:val="0"/>
        <w:adjustRightInd/>
        <w:snapToGrid/>
        <w:spacing w:after="313" w:afterLines="100" w:line="640" w:lineRule="exact"/>
        <w:jc w:val="center"/>
        <w:textAlignment w:val="auto"/>
        <w:rPr>
          <w:rFonts w:hint="eastAsia" w:ascii="仿宋" w:hAnsi="仿宋" w:eastAsia="仿宋" w:cs="仿宋"/>
          <w:b/>
          <w:sz w:val="36"/>
          <w:szCs w:val="36"/>
          <w:lang w:val="en-US" w:eastAsia="zh-CN"/>
        </w:rPr>
      </w:pPr>
      <w:r>
        <w:rPr>
          <w:rFonts w:hint="eastAsia" w:ascii="仿宋_GB2312" w:hAnsi="仿宋_GB2312" w:eastAsia="仿宋_GB2312" w:cs="仿宋_GB2312"/>
          <w:b/>
          <w:bCs w:val="0"/>
          <w:sz w:val="36"/>
          <w:szCs w:val="36"/>
          <w:u w:val="none"/>
          <w:lang w:eastAsia="zh-CN"/>
        </w:rPr>
        <w:t>项目基坑变形监测</w:t>
      </w:r>
      <w:r>
        <w:rPr>
          <w:rFonts w:hint="eastAsia" w:ascii="仿宋_GB2312" w:hAnsi="仿宋_GB2312" w:eastAsia="仿宋_GB2312" w:cs="仿宋_GB2312"/>
          <w:b/>
          <w:bCs w:val="0"/>
          <w:sz w:val="36"/>
          <w:szCs w:val="36"/>
        </w:rPr>
        <w:t>合同</w:t>
      </w:r>
    </w:p>
    <w:p w14:paraId="7E115667">
      <w:pPr>
        <w:pStyle w:val="2"/>
      </w:pPr>
    </w:p>
    <w:p w14:paraId="38D9828D">
      <w:pPr>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ascii="仿宋_GB2312" w:hAnsi="仿宋_GB2312" w:eastAsia="仿宋_GB2312" w:cs="仿宋_GB2312"/>
          <w:sz w:val="24"/>
          <w:szCs w:val="24"/>
          <w:u w:val="none"/>
        </w:rPr>
      </w:pPr>
      <w:r>
        <w:rPr>
          <w:rFonts w:hint="eastAsia" w:ascii="仿宋_GB2312" w:hAnsi="仿宋_GB2312" w:eastAsia="仿宋_GB2312" w:cs="仿宋_GB2312"/>
          <w:sz w:val="24"/>
          <w:szCs w:val="24"/>
          <w:u w:val="none"/>
          <w:lang w:eastAsia="zh-CN"/>
        </w:rPr>
        <w:t>委托</w:t>
      </w:r>
      <w:r>
        <w:rPr>
          <w:rFonts w:hint="eastAsia" w:ascii="仿宋_GB2312" w:hAnsi="仿宋_GB2312" w:eastAsia="仿宋_GB2312" w:cs="仿宋_GB2312"/>
          <w:sz w:val="24"/>
          <w:szCs w:val="24"/>
          <w:u w:val="none"/>
        </w:rPr>
        <w:t>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none"/>
          <w:lang w:eastAsia="zh-CN"/>
        </w:rPr>
        <w:t>（</w:t>
      </w:r>
      <w:r>
        <w:rPr>
          <w:rFonts w:hint="eastAsia" w:ascii="仿宋_GB2312" w:hAnsi="仿宋_GB2312" w:eastAsia="仿宋_GB2312" w:cs="仿宋_GB2312"/>
          <w:sz w:val="24"/>
          <w:szCs w:val="24"/>
          <w:u w:val="none"/>
        </w:rPr>
        <w:t>以下简称甲方</w:t>
      </w:r>
      <w:r>
        <w:rPr>
          <w:rFonts w:hint="eastAsia" w:ascii="仿宋_GB2312" w:hAnsi="仿宋_GB2312" w:eastAsia="仿宋_GB2312" w:cs="仿宋_GB2312"/>
          <w:sz w:val="24"/>
          <w:szCs w:val="24"/>
          <w:u w:val="none"/>
          <w:lang w:eastAsia="zh-CN"/>
        </w:rPr>
        <w:t>）</w:t>
      </w:r>
    </w:p>
    <w:p w14:paraId="792C940B">
      <w:pPr>
        <w:keepNext w:val="0"/>
        <w:keepLines w:val="0"/>
        <w:pageBreakBefore w:val="0"/>
        <w:widowControl w:val="0"/>
        <w:kinsoku/>
        <w:wordWrap/>
        <w:overflowPunct/>
        <w:topLinePunct w:val="0"/>
        <w:autoSpaceDE/>
        <w:autoSpaceDN/>
        <w:bidi w:val="0"/>
        <w:adjustRightInd/>
        <w:spacing w:line="360" w:lineRule="auto"/>
        <w:ind w:right="567" w:firstLine="480" w:firstLineChars="200"/>
        <w:jc w:val="left"/>
        <w:textAlignment w:val="auto"/>
        <w:rPr>
          <w:rFonts w:ascii="仿宋_GB2312" w:hAnsi="仿宋_GB2312" w:eastAsia="仿宋_GB2312" w:cs="仿宋_GB2312"/>
          <w:sz w:val="24"/>
          <w:szCs w:val="24"/>
          <w:u w:val="none"/>
        </w:rPr>
      </w:pPr>
      <w:r>
        <w:rPr>
          <w:rFonts w:hint="eastAsia" w:ascii="仿宋_GB2312" w:hAnsi="仿宋_GB2312" w:eastAsia="仿宋_GB2312" w:cs="仿宋_GB2312"/>
          <w:sz w:val="24"/>
          <w:szCs w:val="24"/>
          <w:u w:val="none"/>
          <w:lang w:eastAsia="zh-CN"/>
        </w:rPr>
        <w:t>受托</w:t>
      </w:r>
      <w:r>
        <w:rPr>
          <w:rFonts w:hint="eastAsia" w:ascii="仿宋_GB2312" w:hAnsi="仿宋_GB2312" w:eastAsia="仿宋_GB2312" w:cs="仿宋_GB2312"/>
          <w:sz w:val="24"/>
          <w:szCs w:val="24"/>
          <w:u w:val="none"/>
        </w:rPr>
        <w:t>方：</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none"/>
          <w:lang w:eastAsia="zh-CN"/>
        </w:rPr>
        <w:t>（</w:t>
      </w:r>
      <w:r>
        <w:rPr>
          <w:rFonts w:hint="eastAsia" w:ascii="仿宋_GB2312" w:hAnsi="仿宋_GB2312" w:eastAsia="仿宋_GB2312" w:cs="仿宋_GB2312"/>
          <w:sz w:val="24"/>
          <w:szCs w:val="24"/>
          <w:u w:val="none"/>
        </w:rPr>
        <w:t>以下简称</w:t>
      </w:r>
      <w:r>
        <w:rPr>
          <w:rFonts w:hint="eastAsia" w:ascii="仿宋_GB2312" w:hAnsi="仿宋_GB2312" w:eastAsia="仿宋_GB2312" w:cs="仿宋_GB2312"/>
          <w:sz w:val="24"/>
          <w:szCs w:val="24"/>
          <w:u w:val="none"/>
          <w:lang w:eastAsia="zh-CN"/>
        </w:rPr>
        <w:t>乙</w:t>
      </w:r>
      <w:r>
        <w:rPr>
          <w:rFonts w:hint="eastAsia" w:ascii="仿宋_GB2312" w:hAnsi="仿宋_GB2312" w:eastAsia="仿宋_GB2312" w:cs="仿宋_GB2312"/>
          <w:sz w:val="24"/>
          <w:szCs w:val="24"/>
          <w:u w:val="none"/>
        </w:rPr>
        <w:t>方</w:t>
      </w:r>
      <w:r>
        <w:rPr>
          <w:rFonts w:hint="eastAsia" w:ascii="仿宋_GB2312" w:hAnsi="仿宋_GB2312" w:eastAsia="仿宋_GB2312" w:cs="仿宋_GB2312"/>
          <w:sz w:val="24"/>
          <w:szCs w:val="24"/>
          <w:u w:val="none"/>
          <w:lang w:eastAsia="zh-CN"/>
        </w:rPr>
        <w:t>）</w:t>
      </w:r>
    </w:p>
    <w:p w14:paraId="6645C6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_GB2312" w:hAnsi="仿宋_GB2312" w:eastAsia="仿宋_GB2312" w:cs="仿宋_GB2312"/>
          <w:sz w:val="24"/>
          <w:szCs w:val="24"/>
        </w:rPr>
        <w:t xml:space="preserve">    </w:t>
      </w:r>
    </w:p>
    <w:p w14:paraId="322C062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鉴于：</w:t>
      </w:r>
    </w:p>
    <w:p w14:paraId="00EF95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vanish/>
          <w:sz w:val="24"/>
          <w:szCs w:val="24"/>
        </w:rPr>
        <w:t>二0</w:t>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vanish/>
          <w:sz w:val="24"/>
          <w:szCs w:val="24"/>
        </w:rPr>
        <w:pgNum/>
      </w:r>
      <w:r>
        <w:rPr>
          <w:rFonts w:hint="eastAsia" w:ascii="仿宋" w:hAnsi="仿宋" w:eastAsia="仿宋" w:cs="仿宋"/>
          <w:sz w:val="24"/>
          <w:szCs w:val="24"/>
        </w:rPr>
        <w:t>依照《中华人民共和国</w:t>
      </w:r>
      <w:r>
        <w:rPr>
          <w:rFonts w:hint="eastAsia" w:ascii="仿宋" w:hAnsi="仿宋" w:eastAsia="仿宋" w:cs="仿宋"/>
          <w:sz w:val="24"/>
          <w:szCs w:val="24"/>
          <w:lang w:eastAsia="zh-CN"/>
        </w:rPr>
        <w:t>民法典</w:t>
      </w:r>
      <w:r>
        <w:rPr>
          <w:rFonts w:hint="eastAsia" w:ascii="仿宋" w:hAnsi="仿宋" w:eastAsia="仿宋" w:cs="仿宋"/>
          <w:sz w:val="24"/>
          <w:szCs w:val="24"/>
        </w:rPr>
        <w:t>》、《中华人民共和国建筑法》及其他有关法律、行政法规，遵循平等、自愿、公平和诚实信用的原则，</w:t>
      </w:r>
      <w:r>
        <w:rPr>
          <w:rFonts w:hint="eastAsia" w:ascii="仿宋" w:hAnsi="仿宋" w:eastAsia="仿宋" w:cs="仿宋"/>
          <w:sz w:val="24"/>
          <w:szCs w:val="24"/>
          <w:lang w:eastAsia="zh-CN"/>
        </w:rPr>
        <w:t>现</w:t>
      </w:r>
      <w:r>
        <w:rPr>
          <w:rFonts w:hint="eastAsia" w:ascii="仿宋" w:hAnsi="仿宋" w:eastAsia="仿宋" w:cs="仿宋"/>
          <w:sz w:val="24"/>
          <w:szCs w:val="24"/>
        </w:rPr>
        <w:t>就</w:t>
      </w:r>
      <w:r>
        <w:rPr>
          <w:rFonts w:hint="eastAsia" w:ascii="仿宋_GB2312" w:hAnsi="仿宋_GB2312" w:eastAsia="仿宋_GB2312" w:cs="仿宋_GB2312"/>
          <w:color w:val="000000"/>
          <w:sz w:val="24"/>
          <w:szCs w:val="24"/>
          <w:u w:val="single"/>
          <w:lang w:val="en-US" w:eastAsia="zh-CN"/>
        </w:rPr>
        <w:t xml:space="preserve">                                    </w:t>
      </w:r>
      <w:r>
        <w:rPr>
          <w:rFonts w:hint="eastAsia" w:ascii="仿宋" w:hAnsi="仿宋" w:eastAsia="仿宋" w:cs="仿宋"/>
          <w:color w:val="000000"/>
          <w:sz w:val="24"/>
          <w:szCs w:val="24"/>
          <w:u w:val="none"/>
          <w:lang w:val="zh-CN"/>
        </w:rPr>
        <w:t>相关</w:t>
      </w:r>
      <w:r>
        <w:rPr>
          <w:rFonts w:hint="eastAsia" w:ascii="仿宋" w:hAnsi="仿宋" w:eastAsia="仿宋" w:cs="仿宋"/>
          <w:sz w:val="24"/>
          <w:szCs w:val="24"/>
        </w:rPr>
        <w:t>事宜协商一致，订立本合同，以资共同遵守。</w:t>
      </w:r>
    </w:p>
    <w:p w14:paraId="623AD636">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2" w:firstLineChars="200"/>
        <w:textAlignment w:val="auto"/>
        <w:rPr>
          <w:rFonts w:hint="eastAsia" w:ascii="华文仿宋" w:hAnsi="华文仿宋" w:eastAsia="华文仿宋" w:cs="华文仿宋"/>
          <w:b/>
          <w:bCs w:val="0"/>
          <w:sz w:val="24"/>
          <w:szCs w:val="24"/>
        </w:rPr>
      </w:pPr>
      <w:r>
        <w:rPr>
          <w:rFonts w:hint="eastAsia" w:ascii="华文仿宋" w:hAnsi="华文仿宋" w:eastAsia="华文仿宋" w:cs="华文仿宋"/>
          <w:b/>
          <w:bCs w:val="0"/>
          <w:sz w:val="24"/>
          <w:szCs w:val="24"/>
          <w:lang w:eastAsia="zh-CN"/>
        </w:rPr>
        <w:t>项目概况</w:t>
      </w:r>
    </w:p>
    <w:p w14:paraId="4AC5E0E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default" w:ascii="仿宋_GB2312" w:hAnsi="仿宋_GB2312" w:eastAsia="仿宋_GB2312" w:cs="仿宋_GB2312"/>
          <w:color w:val="000000"/>
          <w:sz w:val="24"/>
          <w:szCs w:val="24"/>
          <w:u w:val="single"/>
          <w:lang w:val="en-US" w:eastAsia="zh-CN"/>
        </w:rPr>
      </w:pPr>
      <w:r>
        <w:rPr>
          <w:rFonts w:hint="eastAsia" w:ascii="仿宋_GB2312" w:hAnsi="仿宋_GB2312" w:eastAsia="仿宋_GB2312" w:cs="仿宋_GB2312"/>
          <w:color w:val="000000"/>
          <w:sz w:val="24"/>
          <w:szCs w:val="24"/>
          <w:u w:val="none"/>
          <w:lang w:val="en-US" w:eastAsia="zh-CN"/>
        </w:rPr>
        <w:t>1、项目名称：</w:t>
      </w:r>
      <w:r>
        <w:rPr>
          <w:rFonts w:hint="eastAsia" w:ascii="仿宋_GB2312" w:hAnsi="仿宋_GB2312" w:eastAsia="仿宋_GB2312" w:cs="仿宋_GB2312"/>
          <w:color w:val="000000"/>
          <w:sz w:val="24"/>
          <w:szCs w:val="24"/>
          <w:u w:val="single"/>
          <w:lang w:val="en-US" w:eastAsia="zh-CN"/>
        </w:rPr>
        <w:t xml:space="preserve">                    </w:t>
      </w:r>
    </w:p>
    <w:p w14:paraId="4683CF6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000000"/>
          <w:sz w:val="24"/>
          <w:szCs w:val="24"/>
          <w:u w:val="single"/>
          <w:lang w:val="zh-CN" w:eastAsia="zh-CN"/>
        </w:rPr>
      </w:pPr>
      <w:r>
        <w:rPr>
          <w:rFonts w:hint="eastAsia" w:ascii="仿宋_GB2312" w:hAnsi="仿宋_GB2312" w:eastAsia="仿宋_GB2312" w:cs="仿宋_GB2312"/>
          <w:color w:val="000000"/>
          <w:sz w:val="24"/>
          <w:szCs w:val="24"/>
          <w:u w:val="none"/>
          <w:lang w:val="en-US" w:eastAsia="zh-CN"/>
        </w:rPr>
        <w:t>2、</w:t>
      </w:r>
      <w:r>
        <w:rPr>
          <w:rFonts w:hint="eastAsia" w:ascii="仿宋_GB2312" w:hAnsi="仿宋_GB2312" w:eastAsia="仿宋_GB2312" w:cs="仿宋_GB2312"/>
          <w:color w:val="000000"/>
          <w:sz w:val="24"/>
          <w:szCs w:val="24"/>
          <w:u w:val="none"/>
          <w:lang w:val="zh-CN" w:eastAsia="zh-CN"/>
        </w:rPr>
        <w:t>项目选址：</w:t>
      </w:r>
      <w:r>
        <w:rPr>
          <w:rFonts w:hint="eastAsia" w:ascii="仿宋" w:hAnsi="仿宋" w:eastAsia="仿宋" w:cs="仿宋"/>
          <w:kern w:val="2"/>
          <w:sz w:val="24"/>
          <w:szCs w:val="24"/>
          <w:u w:val="single"/>
          <w:lang w:val="en-US" w:eastAsia="zh-CN" w:bidi="ar-SA"/>
        </w:rPr>
        <w:t xml:space="preserve">                    </w:t>
      </w:r>
    </w:p>
    <w:p w14:paraId="5DFCA73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default" w:ascii="仿宋_GB2312" w:hAnsi="仿宋_GB2312" w:eastAsia="仿宋_GB2312" w:cs="仿宋_GB2312"/>
          <w:color w:val="000000"/>
          <w:sz w:val="24"/>
          <w:szCs w:val="24"/>
          <w:highlight w:val="none"/>
          <w:u w:val="single"/>
          <w:lang w:val="en-US" w:eastAsia="zh-CN"/>
        </w:rPr>
      </w:pPr>
      <w:r>
        <w:rPr>
          <w:rFonts w:hint="eastAsia" w:ascii="仿宋_GB2312" w:hAnsi="仿宋_GB2312" w:eastAsia="仿宋_GB2312" w:cs="仿宋_GB2312"/>
          <w:color w:val="000000"/>
          <w:sz w:val="24"/>
          <w:szCs w:val="24"/>
          <w:u w:val="none"/>
          <w:lang w:val="en-US" w:eastAsia="zh-CN"/>
        </w:rPr>
        <w:t>3、</w:t>
      </w:r>
      <w:r>
        <w:rPr>
          <w:rFonts w:hint="eastAsia" w:ascii="仿宋_GB2312" w:hAnsi="仿宋_GB2312" w:eastAsia="仿宋_GB2312" w:cs="仿宋_GB2312"/>
          <w:color w:val="000000"/>
          <w:sz w:val="24"/>
          <w:szCs w:val="24"/>
          <w:highlight w:val="none"/>
          <w:u w:val="none"/>
          <w:lang w:val="zh-CN" w:eastAsia="zh-CN"/>
        </w:rPr>
        <w:t>建设规模及内容：</w:t>
      </w:r>
      <w:r>
        <w:rPr>
          <w:rFonts w:hint="eastAsia" w:ascii="仿宋" w:hAnsi="仿宋" w:eastAsia="仿宋" w:cs="仿宋"/>
          <w:kern w:val="2"/>
          <w:sz w:val="24"/>
          <w:szCs w:val="24"/>
          <w:highlight w:val="none"/>
          <w:u w:val="single"/>
          <w:lang w:val="en-US" w:eastAsia="zh-CN" w:bidi="ar-SA"/>
        </w:rPr>
        <w:t xml:space="preserve">              </w:t>
      </w:r>
    </w:p>
    <w:p w14:paraId="5DD8A6E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2" w:firstLineChars="200"/>
        <w:textAlignment w:val="auto"/>
        <w:rPr>
          <w:rFonts w:hint="eastAsia" w:ascii="华文仿宋" w:hAnsi="华文仿宋" w:eastAsia="华文仿宋" w:cs="华文仿宋"/>
          <w:b/>
          <w:bCs w:val="0"/>
          <w:sz w:val="24"/>
          <w:szCs w:val="24"/>
          <w:highlight w:val="none"/>
        </w:rPr>
      </w:pPr>
      <w:r>
        <w:rPr>
          <w:rFonts w:hint="eastAsia" w:ascii="华文仿宋" w:hAnsi="华文仿宋" w:eastAsia="华文仿宋" w:cs="华文仿宋"/>
          <w:b/>
          <w:bCs w:val="0"/>
          <w:sz w:val="24"/>
          <w:szCs w:val="24"/>
          <w:highlight w:val="none"/>
          <w:lang w:eastAsia="zh-CN"/>
        </w:rPr>
        <w:t>第二条</w:t>
      </w:r>
      <w:r>
        <w:rPr>
          <w:rFonts w:hint="eastAsia" w:ascii="华文仿宋" w:hAnsi="华文仿宋" w:eastAsia="华文仿宋" w:cs="华文仿宋"/>
          <w:b/>
          <w:bCs w:val="0"/>
          <w:sz w:val="24"/>
          <w:szCs w:val="24"/>
          <w:highlight w:val="none"/>
          <w:lang w:val="en-US" w:eastAsia="zh-CN"/>
        </w:rPr>
        <w:t xml:space="preserve"> </w:t>
      </w:r>
      <w:r>
        <w:rPr>
          <w:rFonts w:hint="eastAsia" w:ascii="华文仿宋" w:hAnsi="华文仿宋" w:eastAsia="华文仿宋" w:cs="华文仿宋"/>
          <w:b/>
          <w:bCs w:val="0"/>
          <w:sz w:val="24"/>
          <w:szCs w:val="24"/>
          <w:highlight w:val="none"/>
        </w:rPr>
        <w:t>监测工期</w:t>
      </w:r>
    </w:p>
    <w:p w14:paraId="53EE02E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b w:val="0"/>
          <w:bCs/>
          <w:color w:val="C0504D"/>
          <w:sz w:val="24"/>
          <w:szCs w:val="24"/>
          <w:highlight w:val="none"/>
          <w:u w:val="none"/>
          <w:lang w:val="en-US" w:eastAsia="zh-CN"/>
        </w:rPr>
      </w:pPr>
      <w:r>
        <w:rPr>
          <w:rFonts w:hint="eastAsia" w:ascii="华文仿宋" w:hAnsi="华文仿宋" w:eastAsia="华文仿宋" w:cs="华文仿宋"/>
          <w:b w:val="0"/>
          <w:bCs/>
          <w:sz w:val="24"/>
          <w:szCs w:val="24"/>
          <w:highlight w:val="none"/>
          <w:u w:val="none"/>
          <w:lang w:val="en-US" w:eastAsia="zh-CN"/>
        </w:rPr>
        <w:t>自开始工作至</w:t>
      </w:r>
      <w:r>
        <w:rPr>
          <w:rFonts w:hint="eastAsia" w:ascii="华文仿宋" w:hAnsi="华文仿宋" w:eastAsia="华文仿宋" w:cs="华文仿宋"/>
          <w:b w:val="0"/>
          <w:bCs/>
          <w:sz w:val="24"/>
          <w:szCs w:val="24"/>
          <w:highlight w:val="none"/>
          <w:u w:val="none"/>
          <w:lang w:val="en-US" w:eastAsia="zh-CN"/>
        </w:rPr>
        <w:t>基坑回填结束为止。</w:t>
      </w:r>
    </w:p>
    <w:p w14:paraId="24CF275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华文仿宋" w:hAnsi="华文仿宋" w:eastAsia="华文仿宋" w:cs="华文仿宋"/>
          <w:b w:val="0"/>
          <w:bCs/>
          <w:sz w:val="24"/>
          <w:szCs w:val="24"/>
        </w:rPr>
      </w:pPr>
      <w:r>
        <w:rPr>
          <w:rFonts w:hint="eastAsia" w:ascii="华文仿宋" w:hAnsi="华文仿宋" w:eastAsia="华文仿宋" w:cs="华文仿宋"/>
          <w:b/>
          <w:bCs w:val="0"/>
          <w:sz w:val="24"/>
          <w:szCs w:val="24"/>
        </w:rPr>
        <w:t>第</w:t>
      </w:r>
      <w:r>
        <w:rPr>
          <w:rFonts w:hint="eastAsia" w:ascii="华文仿宋" w:hAnsi="华文仿宋" w:eastAsia="华文仿宋" w:cs="华文仿宋"/>
          <w:b/>
          <w:bCs w:val="0"/>
          <w:sz w:val="24"/>
          <w:szCs w:val="24"/>
          <w:lang w:eastAsia="zh-CN"/>
        </w:rPr>
        <w:t>三</w:t>
      </w:r>
      <w:r>
        <w:rPr>
          <w:rFonts w:hint="eastAsia" w:ascii="华文仿宋" w:hAnsi="华文仿宋" w:eastAsia="华文仿宋" w:cs="华文仿宋"/>
          <w:b/>
          <w:bCs w:val="0"/>
          <w:sz w:val="24"/>
          <w:szCs w:val="24"/>
        </w:rPr>
        <w:t>条 项目内容</w:t>
      </w:r>
    </w:p>
    <w:p w14:paraId="0986151B">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b w:val="0"/>
          <w:bCs/>
          <w:sz w:val="24"/>
          <w:szCs w:val="24"/>
          <w:lang w:eastAsia="zh-CN"/>
        </w:rPr>
      </w:pPr>
      <w:r>
        <w:rPr>
          <w:rFonts w:hint="eastAsia" w:ascii="华文仿宋" w:hAnsi="华文仿宋" w:eastAsia="华文仿宋" w:cs="华文仿宋"/>
          <w:b w:val="0"/>
          <w:bCs/>
          <w:sz w:val="24"/>
          <w:szCs w:val="24"/>
        </w:rPr>
        <w:t>1</w:t>
      </w:r>
      <w:r>
        <w:rPr>
          <w:rFonts w:hint="eastAsia" w:ascii="华文仿宋" w:hAnsi="华文仿宋" w:eastAsia="华文仿宋" w:cs="华文仿宋"/>
          <w:b w:val="0"/>
          <w:bCs/>
          <w:sz w:val="24"/>
          <w:szCs w:val="24"/>
          <w:lang w:val="en-US" w:eastAsia="zh-CN"/>
        </w:rPr>
        <w:t>、</w:t>
      </w:r>
      <w:r>
        <w:rPr>
          <w:rFonts w:hint="eastAsia" w:ascii="华文仿宋" w:hAnsi="华文仿宋" w:eastAsia="华文仿宋" w:cs="华文仿宋"/>
          <w:b w:val="0"/>
          <w:bCs/>
          <w:sz w:val="24"/>
          <w:szCs w:val="24"/>
        </w:rPr>
        <w:t>依据设计文件、相关资料</w:t>
      </w:r>
      <w:r>
        <w:rPr>
          <w:rFonts w:hint="eastAsia" w:ascii="华文仿宋" w:hAnsi="华文仿宋" w:eastAsia="华文仿宋" w:cs="华文仿宋"/>
          <w:b w:val="0"/>
          <w:bCs/>
          <w:sz w:val="24"/>
          <w:szCs w:val="24"/>
          <w:lang w:eastAsia="zh-CN"/>
        </w:rPr>
        <w:t>，</w:t>
      </w:r>
      <w:r>
        <w:rPr>
          <w:rFonts w:hint="eastAsia" w:ascii="华文仿宋" w:hAnsi="华文仿宋" w:eastAsia="华文仿宋" w:cs="华文仿宋"/>
          <w:b w:val="0"/>
          <w:bCs/>
          <w:sz w:val="24"/>
          <w:szCs w:val="24"/>
          <w:lang w:val="en-US" w:eastAsia="zh-CN"/>
        </w:rPr>
        <w:t>监测</w:t>
      </w:r>
      <w:r>
        <w:rPr>
          <w:rFonts w:hint="eastAsia" w:ascii="华文仿宋" w:hAnsi="华文仿宋" w:eastAsia="华文仿宋" w:cs="华文仿宋"/>
          <w:b w:val="0"/>
          <w:bCs/>
          <w:sz w:val="24"/>
          <w:szCs w:val="24"/>
          <w:lang w:eastAsia="zh-CN"/>
        </w:rPr>
        <w:t>各</w:t>
      </w:r>
      <w:r>
        <w:rPr>
          <w:rFonts w:hint="eastAsia" w:ascii="华文仿宋" w:hAnsi="华文仿宋" w:eastAsia="华文仿宋" w:cs="华文仿宋"/>
          <w:b w:val="0"/>
          <w:bCs/>
          <w:sz w:val="24"/>
          <w:szCs w:val="24"/>
          <w:lang w:val="en-US" w:eastAsia="zh-CN"/>
        </w:rPr>
        <w:t>顶管基坑的垂直、水平位移，建立垂直、水平基准网</w:t>
      </w:r>
      <w:r>
        <w:rPr>
          <w:rFonts w:hint="eastAsia" w:ascii="华文仿宋" w:hAnsi="华文仿宋" w:eastAsia="华文仿宋" w:cs="华文仿宋"/>
          <w:b w:val="0"/>
          <w:bCs/>
          <w:sz w:val="24"/>
          <w:szCs w:val="24"/>
          <w:lang w:eastAsia="zh-CN"/>
        </w:rPr>
        <w:t>。</w:t>
      </w:r>
    </w:p>
    <w:p w14:paraId="6B9C06F7">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2、观测过程中，当出现异常情况或甲方需要时，应及时书面告知甲方，便在于及时进行处理，如需增加监测次数，须经甲方同意后方可开展后续工作。</w:t>
      </w:r>
    </w:p>
    <w:p w14:paraId="44CA3D98">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3、正常情况下，监测成果以周报、月报形式反馈甲方。</w:t>
      </w:r>
    </w:p>
    <w:p w14:paraId="17C4357A">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4、在对现场巡视观察及监测数据整理、分析后，如发现异常数据，应立即通过手机短信、电话、网络电子邮件等方式向业主现场代表、监理、设计、施工等相关方发出预警通知，并及时补发书面形式的预警通知书。</w:t>
      </w:r>
    </w:p>
    <w:p w14:paraId="79C60DBB">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5、异常数据的定义：</w:t>
      </w:r>
    </w:p>
    <w:p w14:paraId="1E0D39FD">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（1）监测值达到警戒值；</w:t>
      </w:r>
    </w:p>
    <w:p w14:paraId="6A22441B">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（2）结构变形、位移、应力等量测值有不断增大的趋势，变化超常、速率过大，变化曲线没有变缓的趋势。</w:t>
      </w:r>
    </w:p>
    <w:p w14:paraId="29C91AC8">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（3）相邻建筑物沉降不均匀、速率过快。</w:t>
      </w:r>
    </w:p>
    <w:p w14:paraId="091492F8">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（4）周边地表、道路开裂塌陷，地下管线出现位移，并有不断增大的趋势。</w:t>
      </w:r>
    </w:p>
    <w:p w14:paraId="4E12DB12">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（5）在对现场巡视观察及监测数据整理、分析后，如发现异常数据，应立即现场复测，复测结果也出现异常。</w:t>
      </w:r>
    </w:p>
    <w:p w14:paraId="7CEB0C95">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华文仿宋" w:hAnsi="华文仿宋" w:eastAsia="华文仿宋" w:cs="华文仿宋"/>
          <w:b/>
          <w:bCs/>
          <w:sz w:val="24"/>
          <w:szCs w:val="24"/>
        </w:rPr>
      </w:pPr>
      <w:r>
        <w:rPr>
          <w:rFonts w:hint="eastAsia" w:ascii="华文仿宋" w:hAnsi="华文仿宋" w:eastAsia="华文仿宋" w:cs="华文仿宋"/>
          <w:b/>
          <w:sz w:val="24"/>
          <w:szCs w:val="24"/>
        </w:rPr>
        <w:t>第</w:t>
      </w:r>
      <w:r>
        <w:rPr>
          <w:rFonts w:hint="eastAsia" w:ascii="华文仿宋" w:hAnsi="华文仿宋" w:eastAsia="华文仿宋" w:cs="华文仿宋"/>
          <w:b/>
          <w:sz w:val="24"/>
          <w:szCs w:val="24"/>
          <w:lang w:eastAsia="zh-CN"/>
        </w:rPr>
        <w:t>四</w:t>
      </w:r>
      <w:r>
        <w:rPr>
          <w:rFonts w:hint="eastAsia" w:ascii="华文仿宋" w:hAnsi="华文仿宋" w:eastAsia="华文仿宋" w:cs="华文仿宋"/>
          <w:b/>
          <w:sz w:val="24"/>
          <w:szCs w:val="24"/>
        </w:rPr>
        <w:t xml:space="preserve">条 </w:t>
      </w:r>
      <w:r>
        <w:rPr>
          <w:rFonts w:hint="eastAsia" w:ascii="华文仿宋" w:hAnsi="华文仿宋" w:eastAsia="华文仿宋" w:cs="华文仿宋"/>
          <w:b/>
          <w:bCs/>
          <w:sz w:val="24"/>
          <w:szCs w:val="24"/>
        </w:rPr>
        <w:t>技术依据</w:t>
      </w:r>
    </w:p>
    <w:p w14:paraId="1B4FD024">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lang w:eastAsia="zh-CN"/>
        </w:rPr>
      </w:pPr>
      <w:r>
        <w:rPr>
          <w:rFonts w:hint="eastAsia" w:ascii="华文仿宋" w:hAnsi="华文仿宋" w:eastAsia="华文仿宋" w:cs="华文仿宋"/>
          <w:sz w:val="24"/>
          <w:szCs w:val="24"/>
          <w:lang w:val="en-US" w:eastAsia="zh-CN"/>
        </w:rPr>
        <w:t>1、</w:t>
      </w:r>
      <w:r>
        <w:rPr>
          <w:rFonts w:hint="eastAsia" w:ascii="华文仿宋" w:hAnsi="华文仿宋" w:eastAsia="华文仿宋" w:cs="华文仿宋"/>
          <w:sz w:val="24"/>
          <w:szCs w:val="24"/>
        </w:rPr>
        <w:t>《建筑基坑支护技术规程》（JGJ120-2012）</w:t>
      </w:r>
      <w:r>
        <w:rPr>
          <w:rFonts w:hint="eastAsia" w:ascii="华文仿宋" w:hAnsi="华文仿宋" w:eastAsia="华文仿宋" w:cs="华文仿宋"/>
          <w:sz w:val="24"/>
          <w:szCs w:val="24"/>
          <w:lang w:eastAsia="zh-CN"/>
        </w:rPr>
        <w:t>。</w:t>
      </w:r>
    </w:p>
    <w:p w14:paraId="234B737F">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lang w:eastAsia="zh-CN"/>
        </w:rPr>
      </w:pPr>
      <w:r>
        <w:rPr>
          <w:rFonts w:hint="eastAsia" w:ascii="华文仿宋" w:hAnsi="华文仿宋" w:eastAsia="华文仿宋" w:cs="华文仿宋"/>
          <w:sz w:val="24"/>
          <w:szCs w:val="24"/>
          <w:lang w:val="en-US" w:eastAsia="zh-CN"/>
        </w:rPr>
        <w:t>2、</w:t>
      </w:r>
      <w:r>
        <w:rPr>
          <w:rFonts w:hint="eastAsia" w:ascii="华文仿宋" w:hAnsi="华文仿宋" w:eastAsia="华文仿宋" w:cs="华文仿宋"/>
          <w:sz w:val="24"/>
          <w:szCs w:val="24"/>
        </w:rPr>
        <w:t>《建筑变形测量规范》 （JGJ 8-2016）</w:t>
      </w:r>
      <w:r>
        <w:rPr>
          <w:rFonts w:hint="eastAsia" w:ascii="华文仿宋" w:hAnsi="华文仿宋" w:eastAsia="华文仿宋" w:cs="华文仿宋"/>
          <w:sz w:val="24"/>
          <w:szCs w:val="24"/>
          <w:lang w:eastAsia="zh-CN"/>
        </w:rPr>
        <w:t>。</w:t>
      </w:r>
    </w:p>
    <w:p w14:paraId="1406B6FD">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lang w:eastAsia="zh-CN"/>
        </w:rPr>
      </w:pPr>
      <w:r>
        <w:rPr>
          <w:rFonts w:hint="eastAsia" w:ascii="华文仿宋" w:hAnsi="华文仿宋" w:eastAsia="华文仿宋" w:cs="华文仿宋"/>
          <w:sz w:val="24"/>
          <w:szCs w:val="24"/>
          <w:lang w:val="en-US" w:eastAsia="zh-CN"/>
        </w:rPr>
        <w:t>3、</w:t>
      </w:r>
      <w:r>
        <w:rPr>
          <w:rFonts w:hint="eastAsia" w:ascii="华文仿宋" w:hAnsi="华文仿宋" w:eastAsia="华文仿宋" w:cs="华文仿宋"/>
          <w:sz w:val="24"/>
          <w:szCs w:val="24"/>
        </w:rPr>
        <w:t>《建筑基坑工程监测技术规范》（GB50497-2009）</w:t>
      </w:r>
      <w:r>
        <w:rPr>
          <w:rFonts w:hint="eastAsia" w:ascii="华文仿宋" w:hAnsi="华文仿宋" w:eastAsia="华文仿宋" w:cs="华文仿宋"/>
          <w:sz w:val="24"/>
          <w:szCs w:val="24"/>
          <w:lang w:eastAsia="zh-CN"/>
        </w:rPr>
        <w:t>。</w:t>
      </w:r>
    </w:p>
    <w:p w14:paraId="61448304">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lang w:eastAsia="zh-CN"/>
        </w:rPr>
      </w:pPr>
      <w:r>
        <w:rPr>
          <w:rFonts w:hint="eastAsia" w:ascii="华文仿宋" w:hAnsi="华文仿宋" w:eastAsia="华文仿宋" w:cs="华文仿宋"/>
          <w:sz w:val="24"/>
          <w:szCs w:val="24"/>
          <w:lang w:val="en-US" w:eastAsia="zh-CN"/>
        </w:rPr>
        <w:t>4、</w:t>
      </w:r>
      <w:r>
        <w:rPr>
          <w:rFonts w:hint="eastAsia" w:ascii="华文仿宋" w:hAnsi="华文仿宋" w:eastAsia="华文仿宋" w:cs="华文仿宋"/>
          <w:sz w:val="24"/>
          <w:szCs w:val="24"/>
        </w:rPr>
        <w:t>《工程测量规范》（GB50026—2007）</w:t>
      </w:r>
      <w:r>
        <w:rPr>
          <w:rFonts w:hint="eastAsia" w:ascii="华文仿宋" w:hAnsi="华文仿宋" w:eastAsia="华文仿宋" w:cs="华文仿宋"/>
          <w:sz w:val="24"/>
          <w:szCs w:val="24"/>
          <w:lang w:eastAsia="zh-CN"/>
        </w:rPr>
        <w:t>。</w:t>
      </w:r>
    </w:p>
    <w:p w14:paraId="7A98C004">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lang w:eastAsia="zh-CN"/>
        </w:rPr>
      </w:pPr>
      <w:r>
        <w:rPr>
          <w:rFonts w:hint="eastAsia" w:ascii="华文仿宋" w:hAnsi="华文仿宋" w:eastAsia="华文仿宋" w:cs="华文仿宋"/>
          <w:sz w:val="24"/>
          <w:szCs w:val="24"/>
          <w:lang w:val="en-US" w:eastAsia="zh-CN"/>
        </w:rPr>
        <w:t>5、</w:t>
      </w:r>
      <w:r>
        <w:rPr>
          <w:rFonts w:hint="eastAsia" w:ascii="华文仿宋" w:hAnsi="华文仿宋" w:eastAsia="华文仿宋" w:cs="华文仿宋"/>
          <w:sz w:val="24"/>
          <w:szCs w:val="24"/>
        </w:rPr>
        <w:t>《湿陷性黄土地区建筑基坑工程安全技术规程》(JGJ167-2009)</w:t>
      </w:r>
      <w:r>
        <w:rPr>
          <w:rFonts w:hint="eastAsia" w:ascii="华文仿宋" w:hAnsi="华文仿宋" w:eastAsia="华文仿宋" w:cs="华文仿宋"/>
          <w:sz w:val="24"/>
          <w:szCs w:val="24"/>
          <w:lang w:eastAsia="zh-CN"/>
        </w:rPr>
        <w:t>。</w:t>
      </w:r>
    </w:p>
    <w:p w14:paraId="04B6C471">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lang w:eastAsia="zh-CN"/>
        </w:rPr>
      </w:pPr>
      <w:r>
        <w:rPr>
          <w:rFonts w:hint="eastAsia" w:ascii="华文仿宋" w:hAnsi="华文仿宋" w:eastAsia="华文仿宋" w:cs="华文仿宋"/>
          <w:sz w:val="24"/>
          <w:szCs w:val="24"/>
          <w:lang w:val="en-US" w:eastAsia="zh-CN"/>
        </w:rPr>
        <w:t>6、</w:t>
      </w:r>
      <w:r>
        <w:rPr>
          <w:rFonts w:hint="eastAsia" w:ascii="华文仿宋" w:hAnsi="华文仿宋" w:eastAsia="华文仿宋" w:cs="华文仿宋"/>
          <w:sz w:val="24"/>
          <w:szCs w:val="24"/>
        </w:rPr>
        <w:t>《建筑地基基础设计规范》（GB50007-2011）</w:t>
      </w:r>
      <w:r>
        <w:rPr>
          <w:rFonts w:hint="eastAsia" w:ascii="华文仿宋" w:hAnsi="华文仿宋" w:eastAsia="华文仿宋" w:cs="华文仿宋"/>
          <w:sz w:val="24"/>
          <w:szCs w:val="24"/>
          <w:lang w:eastAsia="zh-CN"/>
        </w:rPr>
        <w:t>。</w:t>
      </w:r>
    </w:p>
    <w:p w14:paraId="7F97008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华文仿宋"/>
          <w:sz w:val="24"/>
          <w:szCs w:val="24"/>
          <w:lang w:eastAsia="zh-CN"/>
        </w:rPr>
      </w:pPr>
      <w:r>
        <w:rPr>
          <w:rFonts w:hint="eastAsia" w:ascii="华文仿宋" w:hAnsi="华文仿宋" w:eastAsia="华文仿宋" w:cs="华文仿宋"/>
          <w:sz w:val="24"/>
          <w:szCs w:val="24"/>
          <w:lang w:val="en-US" w:eastAsia="zh-CN"/>
        </w:rPr>
        <w:t>7、</w:t>
      </w:r>
      <w:r>
        <w:rPr>
          <w:rFonts w:hint="eastAsia" w:ascii="华文仿宋" w:hAnsi="华文仿宋" w:eastAsia="华文仿宋" w:cs="华文仿宋"/>
          <w:sz w:val="24"/>
          <w:szCs w:val="24"/>
        </w:rPr>
        <w:t>《建筑地基基础工程施工质量验收规范》(GB50202-2002)</w:t>
      </w:r>
      <w:r>
        <w:rPr>
          <w:rFonts w:hint="eastAsia" w:ascii="华文仿宋" w:hAnsi="华文仿宋" w:eastAsia="华文仿宋" w:cs="华文仿宋"/>
          <w:sz w:val="24"/>
          <w:szCs w:val="24"/>
          <w:lang w:eastAsia="zh-CN"/>
        </w:rPr>
        <w:t>。</w:t>
      </w:r>
    </w:p>
    <w:p w14:paraId="29CE3212">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华文仿宋" w:hAnsi="华文仿宋" w:eastAsia="华文仿宋" w:cs="华文仿宋"/>
          <w:b/>
          <w:bCs/>
          <w:sz w:val="24"/>
          <w:szCs w:val="24"/>
        </w:rPr>
      </w:pPr>
      <w:r>
        <w:rPr>
          <w:rFonts w:hint="eastAsia" w:ascii="华文仿宋" w:hAnsi="华文仿宋" w:eastAsia="华文仿宋" w:cs="华文仿宋"/>
          <w:b/>
          <w:sz w:val="24"/>
          <w:szCs w:val="24"/>
        </w:rPr>
        <w:t>第</w:t>
      </w:r>
      <w:r>
        <w:rPr>
          <w:rFonts w:hint="eastAsia" w:ascii="华文仿宋" w:hAnsi="华文仿宋" w:eastAsia="华文仿宋" w:cs="华文仿宋"/>
          <w:b/>
          <w:sz w:val="24"/>
          <w:szCs w:val="24"/>
          <w:lang w:eastAsia="zh-CN"/>
        </w:rPr>
        <w:t>五</w:t>
      </w:r>
      <w:r>
        <w:rPr>
          <w:rFonts w:hint="eastAsia" w:ascii="华文仿宋" w:hAnsi="华文仿宋" w:eastAsia="华文仿宋" w:cs="华文仿宋"/>
          <w:b/>
          <w:sz w:val="24"/>
          <w:szCs w:val="24"/>
        </w:rPr>
        <w:t xml:space="preserve">条 </w:t>
      </w:r>
      <w:r>
        <w:rPr>
          <w:rFonts w:hint="eastAsia" w:ascii="华文仿宋" w:hAnsi="华文仿宋" w:eastAsia="华文仿宋" w:cs="华文仿宋"/>
          <w:b/>
          <w:bCs/>
          <w:sz w:val="24"/>
          <w:szCs w:val="24"/>
          <w:lang w:eastAsia="zh-CN"/>
        </w:rPr>
        <w:t>合同价款</w:t>
      </w:r>
      <w:r>
        <w:rPr>
          <w:rFonts w:hint="eastAsia" w:ascii="华文仿宋" w:hAnsi="华文仿宋" w:eastAsia="华文仿宋" w:cs="华文仿宋"/>
          <w:b/>
          <w:bCs/>
          <w:sz w:val="24"/>
          <w:szCs w:val="24"/>
        </w:rPr>
        <w:t>及支付方式</w:t>
      </w:r>
    </w:p>
    <w:p w14:paraId="2D94C22A">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highlight w:val="none"/>
          <w:lang w:eastAsia="zh-CN"/>
        </w:rPr>
      </w:pPr>
      <w:r>
        <w:rPr>
          <w:rFonts w:hint="eastAsia" w:ascii="华文仿宋" w:hAnsi="华文仿宋" w:eastAsia="华文仿宋" w:cs="华文仿宋"/>
          <w:sz w:val="24"/>
          <w:szCs w:val="24"/>
        </w:rPr>
        <w:t>1、本合同</w:t>
      </w:r>
      <w:bookmarkStart w:id="0" w:name="_GoBack"/>
      <w:r>
        <w:rPr>
          <w:rFonts w:hint="eastAsia" w:ascii="华文仿宋" w:hAnsi="华文仿宋" w:eastAsia="华文仿宋" w:cs="华文仿宋"/>
          <w:sz w:val="24"/>
          <w:szCs w:val="24"/>
          <w:highlight w:val="none"/>
        </w:rPr>
        <w:t>总价</w:t>
      </w:r>
      <w:r>
        <w:rPr>
          <w:rFonts w:hint="eastAsia" w:ascii="华文仿宋" w:hAnsi="华文仿宋" w:eastAsia="华文仿宋" w:cs="华文仿宋"/>
          <w:sz w:val="24"/>
          <w:szCs w:val="24"/>
          <w:highlight w:val="none"/>
          <w:lang w:eastAsia="zh-CN"/>
        </w:rPr>
        <w:t>含税暂定</w:t>
      </w:r>
      <w:r>
        <w:rPr>
          <w:rFonts w:hint="eastAsia" w:ascii="华文仿宋" w:hAnsi="华文仿宋" w:eastAsia="华文仿宋" w:cs="华文仿宋"/>
          <w:sz w:val="24"/>
          <w:szCs w:val="24"/>
          <w:highlight w:val="none"/>
        </w:rPr>
        <w:t>为</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大写</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w:t>
      </w:r>
      <w:r>
        <w:rPr>
          <w:rFonts w:hint="eastAsia" w:ascii="华文仿宋" w:hAnsi="华文仿宋" w:eastAsia="华文仿宋" w:cs="华文仿宋"/>
          <w:sz w:val="24"/>
          <w:szCs w:val="24"/>
          <w:highlight w:val="none"/>
          <w:u w:val="none"/>
          <w:lang w:eastAsia="zh-CN"/>
        </w:rPr>
        <w:t>人民币</w:t>
      </w:r>
      <w:r>
        <w:rPr>
          <w:rFonts w:hint="eastAsia" w:ascii="华文仿宋" w:hAnsi="华文仿宋" w:eastAsia="华文仿宋" w:cs="华文仿宋"/>
          <w:sz w:val="24"/>
          <w:szCs w:val="24"/>
          <w:highlight w:val="none"/>
          <w:u w:val="single"/>
          <w:lang w:val="en-US" w:eastAsia="zh-CN"/>
        </w:rPr>
        <w:t xml:space="preserve">          </w:t>
      </w:r>
      <w:r>
        <w:rPr>
          <w:rFonts w:hint="eastAsia" w:ascii="华文仿宋" w:hAnsi="华文仿宋" w:eastAsia="华文仿宋" w:cs="华文仿宋"/>
          <w:sz w:val="24"/>
          <w:szCs w:val="24"/>
          <w:highlight w:val="none"/>
          <w:u w:val="none"/>
          <w:lang w:val="en-US" w:eastAsia="zh-CN"/>
        </w:rPr>
        <w:t>，</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小写</w:t>
      </w:r>
      <w:r>
        <w:rPr>
          <w:rFonts w:hint="eastAsia" w:ascii="仿宋" w:hAnsi="仿宋" w:eastAsia="仿宋" w:cs="仿宋"/>
          <w:sz w:val="24"/>
          <w:szCs w:val="24"/>
          <w:highlight w:val="none"/>
          <w:u w:val="none"/>
          <w:lang w:val="en-US" w:eastAsia="zh-CN"/>
        </w:rPr>
        <w:t>)</w:t>
      </w:r>
      <w:r>
        <w:rPr>
          <w:rFonts w:hint="eastAsia" w:ascii="仿宋" w:hAnsi="仿宋" w:eastAsia="仿宋" w:cs="仿宋"/>
          <w:sz w:val="24"/>
          <w:szCs w:val="24"/>
          <w:highlight w:val="none"/>
          <w:u w:val="none"/>
        </w:rPr>
        <w:t>：</w:t>
      </w:r>
      <w:r>
        <w:rPr>
          <w:rFonts w:hint="eastAsia" w:ascii="华文仿宋" w:hAnsi="华文仿宋" w:eastAsia="华文仿宋" w:cs="华文仿宋"/>
          <w:sz w:val="24"/>
          <w:szCs w:val="24"/>
          <w:highlight w:val="none"/>
          <w:u w:val="none"/>
          <w:lang w:val="en-US" w:eastAsia="zh-CN"/>
        </w:rPr>
        <w:t>¥</w:t>
      </w:r>
      <w:r>
        <w:rPr>
          <w:rFonts w:hint="eastAsia" w:ascii="华文仿宋" w:hAnsi="华文仿宋" w:eastAsia="华文仿宋" w:cs="华文仿宋"/>
          <w:sz w:val="24"/>
          <w:szCs w:val="24"/>
          <w:highlight w:val="none"/>
          <w:u w:val="single"/>
          <w:lang w:val="en-US" w:eastAsia="zh-CN"/>
        </w:rPr>
        <w:t xml:space="preserve">         </w:t>
      </w:r>
      <w:r>
        <w:rPr>
          <w:rFonts w:hint="eastAsia" w:ascii="华文仿宋" w:hAnsi="华文仿宋" w:eastAsia="华文仿宋" w:cs="华文仿宋"/>
          <w:sz w:val="24"/>
          <w:szCs w:val="24"/>
          <w:highlight w:val="none"/>
          <w:lang w:val="en-US" w:eastAsia="zh-CN"/>
        </w:rPr>
        <w:t>元</w:t>
      </w:r>
      <w:r>
        <w:rPr>
          <w:rFonts w:hint="eastAsia" w:ascii="华文仿宋" w:hAnsi="华文仿宋" w:eastAsia="华文仿宋" w:cs="华文仿宋"/>
          <w:sz w:val="24"/>
          <w:szCs w:val="24"/>
          <w:highlight w:val="none"/>
        </w:rPr>
        <w:t>。</w:t>
      </w:r>
      <w:r>
        <w:rPr>
          <w:rFonts w:hint="eastAsia" w:ascii="华文仿宋" w:hAnsi="华文仿宋" w:eastAsia="华文仿宋" w:cs="华文仿宋"/>
          <w:sz w:val="24"/>
          <w:szCs w:val="24"/>
          <w:highlight w:val="none"/>
          <w:lang w:eastAsia="zh-CN"/>
        </w:rPr>
        <w:t>结算根据甲方确认的实际工程量并依据含税包干单价据实结算。最终监测点位及频次，结合施工图设计文件、现场实际情况，依据监测相关规范布设。</w:t>
      </w:r>
    </w:p>
    <w:p w14:paraId="7D011430">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default" w:ascii="华文仿宋" w:hAnsi="华文仿宋" w:eastAsia="华文仿宋" w:cs="华文仿宋"/>
          <w:sz w:val="24"/>
          <w:szCs w:val="24"/>
          <w:highlight w:val="none"/>
          <w:lang w:val="en-US" w:eastAsia="zh-CN"/>
        </w:rPr>
      </w:pPr>
      <w:r>
        <w:rPr>
          <w:rFonts w:hint="eastAsia" w:ascii="华文仿宋" w:hAnsi="华文仿宋" w:eastAsia="华文仿宋" w:cs="华文仿宋"/>
          <w:sz w:val="24"/>
          <w:szCs w:val="24"/>
          <w:highlight w:val="none"/>
          <w:lang w:eastAsia="zh-CN"/>
        </w:rPr>
        <w:t>其中：</w:t>
      </w:r>
      <w:r>
        <w:rPr>
          <w:rFonts w:hint="eastAsia" w:ascii="华文仿宋" w:hAnsi="华文仿宋" w:eastAsia="华文仿宋" w:cs="华文仿宋"/>
          <w:sz w:val="24"/>
          <w:szCs w:val="24"/>
          <w:highlight w:val="none"/>
          <w:lang w:val="en-US" w:eastAsia="zh-CN"/>
        </w:rPr>
        <w:t>基坑</w:t>
      </w:r>
      <w:r>
        <w:rPr>
          <w:rFonts w:hint="eastAsia" w:ascii="华文仿宋" w:hAnsi="华文仿宋" w:eastAsia="华文仿宋" w:cs="华文仿宋"/>
          <w:sz w:val="24"/>
          <w:szCs w:val="24"/>
          <w:highlight w:val="none"/>
          <w:lang w:eastAsia="zh-CN"/>
        </w:rPr>
        <w:t>竖向位移、水平位移</w:t>
      </w:r>
      <w:r>
        <w:rPr>
          <w:rFonts w:hint="eastAsia" w:ascii="华文仿宋" w:hAnsi="华文仿宋" w:eastAsia="华文仿宋" w:cs="华文仿宋"/>
          <w:sz w:val="24"/>
          <w:szCs w:val="24"/>
          <w:highlight w:val="none"/>
          <w:u w:val="single"/>
          <w:lang w:val="en-US" w:eastAsia="zh-CN"/>
        </w:rPr>
        <w:t xml:space="preserve">  </w:t>
      </w:r>
      <w:r>
        <w:rPr>
          <w:rFonts w:hint="eastAsia" w:ascii="华文仿宋" w:hAnsi="华文仿宋" w:eastAsia="华文仿宋" w:cs="华文仿宋"/>
          <w:sz w:val="24"/>
          <w:szCs w:val="24"/>
          <w:highlight w:val="none"/>
          <w:lang w:val="en-US" w:eastAsia="zh-CN"/>
        </w:rPr>
        <w:t>元/点*次单价含税包干；基准网</w:t>
      </w:r>
      <w:r>
        <w:rPr>
          <w:rFonts w:hint="eastAsia" w:ascii="华文仿宋" w:hAnsi="华文仿宋" w:eastAsia="华文仿宋" w:cs="华文仿宋"/>
          <w:sz w:val="24"/>
          <w:szCs w:val="24"/>
          <w:highlight w:val="none"/>
          <w:u w:val="single"/>
          <w:lang w:val="en-US" w:eastAsia="zh-CN"/>
        </w:rPr>
        <w:t xml:space="preserve">   </w:t>
      </w:r>
      <w:r>
        <w:rPr>
          <w:rFonts w:hint="eastAsia" w:ascii="华文仿宋" w:hAnsi="华文仿宋" w:eastAsia="华文仿宋" w:cs="华文仿宋"/>
          <w:sz w:val="24"/>
          <w:szCs w:val="24"/>
          <w:highlight w:val="none"/>
          <w:lang w:val="en-US" w:eastAsia="zh-CN"/>
        </w:rPr>
        <w:t>元/点*次单价含税包干,周边地表沉降</w:t>
      </w:r>
      <w:r>
        <w:rPr>
          <w:rFonts w:hint="eastAsia" w:ascii="华文仿宋" w:hAnsi="华文仿宋" w:eastAsia="华文仿宋" w:cs="华文仿宋"/>
          <w:sz w:val="24"/>
          <w:szCs w:val="24"/>
          <w:highlight w:val="none"/>
          <w:u w:val="single"/>
          <w:lang w:val="en-US" w:eastAsia="zh-CN"/>
        </w:rPr>
        <w:t xml:space="preserve">  </w:t>
      </w:r>
      <w:r>
        <w:rPr>
          <w:rFonts w:hint="eastAsia" w:ascii="华文仿宋" w:hAnsi="华文仿宋" w:eastAsia="华文仿宋" w:cs="华文仿宋"/>
          <w:sz w:val="24"/>
          <w:szCs w:val="24"/>
          <w:highlight w:val="none"/>
          <w:lang w:val="en-US" w:eastAsia="zh-CN"/>
        </w:rPr>
        <w:t>元/点*次单价含税包干,周边管线沉降</w:t>
      </w:r>
      <w:r>
        <w:rPr>
          <w:rFonts w:hint="eastAsia" w:ascii="华文仿宋" w:hAnsi="华文仿宋" w:eastAsia="华文仿宋" w:cs="华文仿宋"/>
          <w:sz w:val="24"/>
          <w:szCs w:val="24"/>
          <w:highlight w:val="none"/>
          <w:u w:val="single"/>
          <w:lang w:val="en-US" w:eastAsia="zh-CN"/>
        </w:rPr>
        <w:t xml:space="preserve">  </w:t>
      </w:r>
      <w:r>
        <w:rPr>
          <w:rFonts w:hint="eastAsia" w:ascii="华文仿宋" w:hAnsi="华文仿宋" w:eastAsia="华文仿宋" w:cs="华文仿宋"/>
          <w:sz w:val="24"/>
          <w:szCs w:val="24"/>
          <w:highlight w:val="none"/>
          <w:lang w:val="en-US" w:eastAsia="zh-CN"/>
        </w:rPr>
        <w:t>元/点*次单价含税包干。</w:t>
      </w:r>
    </w:p>
    <w:p w14:paraId="67A0CB57">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highlight w:val="none"/>
        </w:rPr>
      </w:pPr>
      <w:r>
        <w:rPr>
          <w:rFonts w:hint="eastAsia" w:ascii="华文仿宋" w:hAnsi="华文仿宋" w:eastAsia="华文仿宋" w:cs="华文仿宋"/>
          <w:sz w:val="24"/>
          <w:szCs w:val="24"/>
          <w:highlight w:val="none"/>
        </w:rPr>
        <w:t>2、支付方式</w:t>
      </w:r>
    </w:p>
    <w:p w14:paraId="272CD7A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华文仿宋" w:hAnsi="华文仿宋" w:eastAsia="华文仿宋" w:cs="华文仿宋"/>
          <w:sz w:val="24"/>
          <w:szCs w:val="24"/>
          <w:highlight w:val="none"/>
        </w:rPr>
      </w:pPr>
      <w:r>
        <w:rPr>
          <w:rFonts w:hint="eastAsia" w:ascii="华文仿宋" w:hAnsi="华文仿宋" w:eastAsia="华文仿宋" w:cs="华文仿宋"/>
          <w:sz w:val="24"/>
          <w:szCs w:val="24"/>
          <w:highlight w:val="none"/>
          <w:lang w:val="en-US" w:eastAsia="zh-CN"/>
        </w:rPr>
        <w:t>（1）本项目无预付款。</w:t>
      </w:r>
      <w:r>
        <w:rPr>
          <w:rFonts w:hint="eastAsia" w:ascii="华文仿宋" w:hAnsi="华文仿宋" w:eastAsia="华文仿宋" w:cs="华文仿宋"/>
          <w:sz w:val="24"/>
          <w:szCs w:val="24"/>
          <w:highlight w:val="none"/>
        </w:rPr>
        <w:t>进度款根据实际监测次数据实拨付，</w:t>
      </w:r>
      <w:r>
        <w:rPr>
          <w:rFonts w:hint="eastAsia" w:ascii="华文仿宋" w:hAnsi="华文仿宋" w:eastAsia="华文仿宋" w:cs="华文仿宋"/>
          <w:sz w:val="24"/>
          <w:szCs w:val="24"/>
          <w:highlight w:val="none"/>
          <w:lang w:val="en-US" w:eastAsia="zh-CN"/>
        </w:rPr>
        <w:t>乙方</w:t>
      </w:r>
      <w:r>
        <w:rPr>
          <w:rFonts w:hint="eastAsia" w:ascii="华文仿宋" w:hAnsi="华文仿宋" w:eastAsia="华文仿宋" w:cs="华文仿宋"/>
          <w:sz w:val="24"/>
          <w:szCs w:val="24"/>
          <w:highlight w:val="none"/>
        </w:rPr>
        <w:t>于每月20日前向</w:t>
      </w:r>
      <w:r>
        <w:rPr>
          <w:rFonts w:hint="eastAsia" w:ascii="华文仿宋" w:hAnsi="华文仿宋" w:eastAsia="华文仿宋" w:cs="华文仿宋"/>
          <w:sz w:val="24"/>
          <w:szCs w:val="24"/>
          <w:highlight w:val="none"/>
          <w:lang w:val="en-US" w:eastAsia="zh-CN"/>
        </w:rPr>
        <w:t>甲方</w:t>
      </w:r>
      <w:r>
        <w:rPr>
          <w:rFonts w:hint="eastAsia" w:ascii="华文仿宋" w:hAnsi="华文仿宋" w:eastAsia="华文仿宋" w:cs="华文仿宋"/>
          <w:sz w:val="24"/>
          <w:szCs w:val="24"/>
          <w:highlight w:val="none"/>
        </w:rPr>
        <w:t>报送当月已完成合格工程量进度表，</w:t>
      </w:r>
      <w:r>
        <w:rPr>
          <w:rFonts w:hint="eastAsia" w:ascii="华文仿宋" w:hAnsi="华文仿宋" w:eastAsia="华文仿宋" w:cs="华文仿宋"/>
          <w:sz w:val="24"/>
          <w:szCs w:val="24"/>
          <w:highlight w:val="none"/>
          <w:lang w:val="en-US" w:eastAsia="zh-CN"/>
        </w:rPr>
        <w:t>甲方</w:t>
      </w:r>
      <w:r>
        <w:rPr>
          <w:rFonts w:hint="eastAsia" w:ascii="华文仿宋" w:hAnsi="华文仿宋" w:eastAsia="华文仿宋" w:cs="华文仿宋"/>
          <w:sz w:val="24"/>
          <w:szCs w:val="24"/>
          <w:highlight w:val="none"/>
        </w:rPr>
        <w:t>审核后，且乙方提供满足甲方要求的增值税发票及收据后，按完成工作量的80%支付进度款。</w:t>
      </w:r>
    </w:p>
    <w:p w14:paraId="7574986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华文仿宋" w:hAnsi="华文仿宋" w:eastAsia="华文仿宋" w:cs="华文仿宋"/>
          <w:bCs/>
          <w:sz w:val="24"/>
          <w:szCs w:val="24"/>
          <w:highlight w:val="none"/>
          <w:lang w:val="en-US" w:eastAsia="zh-CN"/>
        </w:rPr>
      </w:pPr>
      <w:r>
        <w:rPr>
          <w:rFonts w:hint="eastAsia" w:ascii="华文仿宋" w:hAnsi="华文仿宋" w:eastAsia="华文仿宋" w:cs="华文仿宋"/>
          <w:sz w:val="24"/>
          <w:szCs w:val="24"/>
          <w:highlight w:val="none"/>
          <w:lang w:eastAsia="zh-CN"/>
        </w:rPr>
        <w:t>（</w:t>
      </w:r>
      <w:r>
        <w:rPr>
          <w:rFonts w:hint="eastAsia" w:ascii="华文仿宋" w:hAnsi="华文仿宋" w:eastAsia="华文仿宋" w:cs="华文仿宋"/>
          <w:sz w:val="24"/>
          <w:szCs w:val="24"/>
          <w:highlight w:val="none"/>
          <w:lang w:val="en-US" w:eastAsia="zh-CN"/>
        </w:rPr>
        <w:t>2</w:t>
      </w:r>
      <w:r>
        <w:rPr>
          <w:rFonts w:hint="eastAsia" w:ascii="华文仿宋" w:hAnsi="华文仿宋" w:eastAsia="华文仿宋" w:cs="华文仿宋"/>
          <w:sz w:val="24"/>
          <w:szCs w:val="24"/>
          <w:highlight w:val="none"/>
          <w:lang w:eastAsia="zh-CN"/>
        </w:rPr>
        <w:t>）待整体监测工作完成后，出具符合要求的监测报告，达到付款条件起60 日内，支付至</w:t>
      </w:r>
      <w:r>
        <w:rPr>
          <w:rFonts w:hint="eastAsia" w:ascii="华文仿宋" w:hAnsi="华文仿宋" w:eastAsia="华文仿宋" w:cs="华文仿宋"/>
          <w:sz w:val="24"/>
          <w:szCs w:val="24"/>
          <w:highlight w:val="none"/>
          <w:lang w:val="en-US" w:eastAsia="zh-CN"/>
        </w:rPr>
        <w:t>结算</w:t>
      </w:r>
      <w:r>
        <w:rPr>
          <w:rFonts w:hint="eastAsia" w:ascii="华文仿宋" w:hAnsi="华文仿宋" w:eastAsia="华文仿宋" w:cs="华文仿宋"/>
          <w:sz w:val="24"/>
          <w:szCs w:val="24"/>
          <w:highlight w:val="none"/>
          <w:lang w:eastAsia="zh-CN"/>
        </w:rPr>
        <w:t>金额的 100.00%。</w:t>
      </w:r>
    </w:p>
    <w:p w14:paraId="3658D4C8">
      <w:pPr>
        <w:keepNext w:val="0"/>
        <w:keepLines w:val="0"/>
        <w:pageBreakBefore w:val="0"/>
        <w:widowControl w:val="0"/>
        <w:kinsoku/>
        <w:wordWrap/>
        <w:overflowPunct/>
        <w:topLinePunct w:val="0"/>
        <w:autoSpaceDE/>
        <w:autoSpaceDN/>
        <w:bidi w:val="0"/>
        <w:adjustRightInd/>
        <w:spacing w:line="360" w:lineRule="auto"/>
        <w:ind w:firstLine="560"/>
        <w:textAlignment w:val="auto"/>
        <w:rPr>
          <w:rFonts w:hint="default" w:ascii="华文仿宋" w:hAnsi="华文仿宋" w:eastAsia="华文仿宋" w:cs="华文仿宋"/>
          <w:bCs/>
          <w:sz w:val="24"/>
          <w:szCs w:val="24"/>
          <w:highlight w:val="none"/>
          <w:lang w:val="en-US" w:eastAsia="zh-CN"/>
        </w:rPr>
      </w:pPr>
      <w:r>
        <w:rPr>
          <w:rFonts w:hint="eastAsia" w:ascii="华文仿宋" w:hAnsi="华文仿宋" w:eastAsia="华文仿宋" w:cs="华文仿宋"/>
          <w:bCs/>
          <w:sz w:val="24"/>
          <w:szCs w:val="24"/>
          <w:highlight w:val="none"/>
          <w:lang w:val="en-US" w:eastAsia="zh-CN"/>
        </w:rPr>
        <w:t>3、每次付款前，乙方须按甲方要求提供其认可的</w:t>
      </w:r>
      <w:r>
        <w:rPr>
          <w:rFonts w:hint="eastAsia" w:ascii="仿宋" w:hAnsi="仿宋" w:eastAsia="仿宋" w:cs="仿宋"/>
          <w:kern w:val="2"/>
          <w:sz w:val="24"/>
          <w:szCs w:val="24"/>
          <w:highlight w:val="none"/>
          <w:lang w:val="en-US" w:eastAsia="zh-CN" w:bidi="ar-SA"/>
        </w:rPr>
        <w:t>增值税发票、收款收据及完税凭证。</w:t>
      </w:r>
    </w:p>
    <w:bookmarkEnd w:id="0"/>
    <w:p w14:paraId="5F8168D7">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华文仿宋" w:hAnsi="华文仿宋" w:eastAsia="华文仿宋" w:cs="华文仿宋"/>
          <w:b/>
          <w:bCs/>
          <w:sz w:val="24"/>
          <w:szCs w:val="24"/>
        </w:rPr>
      </w:pPr>
      <w:r>
        <w:rPr>
          <w:rFonts w:hint="eastAsia" w:ascii="华文仿宋" w:hAnsi="华文仿宋" w:eastAsia="华文仿宋" w:cs="华文仿宋"/>
          <w:bCs/>
          <w:sz w:val="24"/>
          <w:szCs w:val="24"/>
        </w:rPr>
        <w:t xml:space="preserve">  </w:t>
      </w:r>
      <w:r>
        <w:rPr>
          <w:rFonts w:hint="eastAsia" w:ascii="华文仿宋" w:hAnsi="华文仿宋" w:eastAsia="华文仿宋" w:cs="华文仿宋"/>
          <w:b/>
          <w:bCs/>
          <w:sz w:val="24"/>
          <w:szCs w:val="24"/>
        </w:rPr>
        <w:t xml:space="preserve">  第</w:t>
      </w:r>
      <w:r>
        <w:rPr>
          <w:rFonts w:hint="eastAsia" w:ascii="华文仿宋" w:hAnsi="华文仿宋" w:eastAsia="华文仿宋" w:cs="华文仿宋"/>
          <w:b/>
          <w:bCs/>
          <w:sz w:val="24"/>
          <w:szCs w:val="24"/>
          <w:lang w:eastAsia="zh-CN"/>
        </w:rPr>
        <w:t>六</w:t>
      </w:r>
      <w:r>
        <w:rPr>
          <w:rFonts w:hint="eastAsia" w:ascii="华文仿宋" w:hAnsi="华文仿宋" w:eastAsia="华文仿宋" w:cs="华文仿宋"/>
          <w:b/>
          <w:bCs/>
          <w:sz w:val="24"/>
          <w:szCs w:val="24"/>
        </w:rPr>
        <w:t>条 甲方权利和义务</w:t>
      </w:r>
    </w:p>
    <w:p w14:paraId="080E98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1、</w:t>
      </w:r>
      <w:r>
        <w:rPr>
          <w:rFonts w:hint="eastAsia" w:ascii="华文仿宋" w:hAnsi="华文仿宋" w:eastAsia="华文仿宋" w:cs="华文仿宋"/>
          <w:sz w:val="24"/>
          <w:szCs w:val="24"/>
        </w:rPr>
        <w:t>提供相关设计文件并与乙方共同确定监测基准点平面位置。</w:t>
      </w:r>
    </w:p>
    <w:p w14:paraId="3E298F9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2、</w:t>
      </w:r>
      <w:r>
        <w:rPr>
          <w:rFonts w:hint="eastAsia" w:ascii="华文仿宋" w:hAnsi="华文仿宋" w:eastAsia="华文仿宋" w:cs="华文仿宋"/>
          <w:sz w:val="24"/>
          <w:szCs w:val="24"/>
        </w:rPr>
        <w:t>要求乙方按规范及设计图纸设置相关监测点位。</w:t>
      </w:r>
    </w:p>
    <w:p w14:paraId="3D805F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3、</w:t>
      </w:r>
      <w:r>
        <w:rPr>
          <w:rFonts w:hint="eastAsia" w:ascii="华文仿宋" w:hAnsi="华文仿宋" w:eastAsia="华文仿宋" w:cs="华文仿宋"/>
          <w:sz w:val="24"/>
          <w:szCs w:val="24"/>
        </w:rPr>
        <w:t>协调现场各方关系，保证乙方在现场观测时能顺利开展工作。</w:t>
      </w:r>
    </w:p>
    <w:p w14:paraId="5574DCF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4、甲方</w:t>
      </w:r>
      <w:r>
        <w:rPr>
          <w:rFonts w:hint="eastAsia" w:ascii="华文仿宋" w:hAnsi="华文仿宋" w:eastAsia="华文仿宋" w:cs="华文仿宋"/>
          <w:sz w:val="24"/>
          <w:szCs w:val="24"/>
        </w:rPr>
        <w:t>按合同约定支付监测费用。</w:t>
      </w:r>
      <w:r>
        <w:rPr>
          <w:rFonts w:hint="eastAsia" w:ascii="华文仿宋" w:hAnsi="华文仿宋" w:eastAsia="华文仿宋" w:cs="华文仿宋"/>
          <w:sz w:val="24"/>
          <w:szCs w:val="24"/>
        </w:rPr>
        <w:tab/>
      </w:r>
    </w:p>
    <w:p w14:paraId="209212A5">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华文仿宋" w:hAnsi="华文仿宋" w:eastAsia="华文仿宋" w:cs="华文仿宋"/>
          <w:b/>
          <w:bCs/>
          <w:sz w:val="24"/>
          <w:szCs w:val="24"/>
        </w:rPr>
      </w:pPr>
      <w:r>
        <w:rPr>
          <w:rFonts w:hint="eastAsia" w:ascii="华文仿宋" w:hAnsi="华文仿宋" w:eastAsia="华文仿宋" w:cs="华文仿宋"/>
          <w:b/>
          <w:bCs/>
          <w:sz w:val="24"/>
          <w:szCs w:val="24"/>
        </w:rPr>
        <w:t>第</w:t>
      </w:r>
      <w:r>
        <w:rPr>
          <w:rFonts w:hint="eastAsia" w:ascii="华文仿宋" w:hAnsi="华文仿宋" w:eastAsia="华文仿宋" w:cs="华文仿宋"/>
          <w:b/>
          <w:bCs/>
          <w:sz w:val="24"/>
          <w:szCs w:val="24"/>
          <w:lang w:eastAsia="zh-CN"/>
        </w:rPr>
        <w:t>七</w:t>
      </w:r>
      <w:r>
        <w:rPr>
          <w:rFonts w:hint="eastAsia" w:ascii="华文仿宋" w:hAnsi="华文仿宋" w:eastAsia="华文仿宋" w:cs="华文仿宋"/>
          <w:b/>
          <w:bCs/>
          <w:sz w:val="24"/>
          <w:szCs w:val="24"/>
        </w:rPr>
        <w:t>条 乙方权利和义务</w:t>
      </w:r>
    </w:p>
    <w:p w14:paraId="188ECAD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1、</w:t>
      </w:r>
      <w:r>
        <w:rPr>
          <w:rFonts w:hint="eastAsia" w:ascii="华文仿宋" w:hAnsi="华文仿宋" w:eastAsia="华文仿宋" w:cs="华文仿宋"/>
          <w:sz w:val="24"/>
          <w:szCs w:val="24"/>
        </w:rPr>
        <w:t>委派现场代表</w:t>
      </w:r>
      <w:r>
        <w:rPr>
          <w:rFonts w:hint="eastAsia" w:ascii="华文仿宋" w:hAnsi="华文仿宋" w:eastAsia="华文仿宋" w:cs="华文仿宋"/>
          <w:sz w:val="24"/>
          <w:szCs w:val="24"/>
          <w:u w:val="single"/>
          <w:lang w:val="en-US" w:eastAsia="zh-CN"/>
        </w:rPr>
        <w:t xml:space="preserve">    </w:t>
      </w:r>
      <w:r>
        <w:rPr>
          <w:rFonts w:hint="eastAsia" w:ascii="华文仿宋" w:hAnsi="华文仿宋" w:eastAsia="华文仿宋" w:cs="华文仿宋"/>
          <w:sz w:val="24"/>
          <w:szCs w:val="24"/>
        </w:rPr>
        <w:t>负责监测期间的全面管理。该现场代表须持有与本观测项目相适应的资格证书，如变更现场代表应事先经甲方书面同意。</w:t>
      </w:r>
    </w:p>
    <w:p w14:paraId="0CE47B3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2、</w:t>
      </w:r>
      <w:r>
        <w:rPr>
          <w:rFonts w:hint="eastAsia" w:ascii="华文仿宋" w:hAnsi="华文仿宋" w:eastAsia="华文仿宋" w:cs="华文仿宋"/>
          <w:sz w:val="24"/>
          <w:szCs w:val="24"/>
        </w:rPr>
        <w:t>乙方负责监测基准点的埋设及监测点的设置，并在每次施测前与甲方现场代表联系。</w:t>
      </w:r>
    </w:p>
    <w:p w14:paraId="6BD5853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3、</w:t>
      </w:r>
      <w:r>
        <w:rPr>
          <w:rFonts w:hint="eastAsia" w:ascii="华文仿宋" w:hAnsi="华文仿宋" w:eastAsia="华文仿宋" w:cs="华文仿宋"/>
          <w:sz w:val="24"/>
          <w:szCs w:val="24"/>
        </w:rPr>
        <w:t>开工前5个工作日内必须编制完整的监测技术方案及保证措施，并经甲方确认后执行。</w:t>
      </w:r>
    </w:p>
    <w:p w14:paraId="2BDC57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4、</w:t>
      </w:r>
      <w:r>
        <w:rPr>
          <w:rFonts w:hint="eastAsia" w:ascii="华文仿宋" w:hAnsi="华文仿宋" w:eastAsia="华文仿宋" w:cs="华文仿宋"/>
          <w:sz w:val="24"/>
          <w:szCs w:val="24"/>
        </w:rPr>
        <w:t>按相关安全法规进行安全工作，遵守甲方施工现场管理的有关规定，承担在施工过程中的防火、防盗、防止意外事故发生等安全责任。若出现安全问题，责任由乙方自行承担。</w:t>
      </w:r>
    </w:p>
    <w:p w14:paraId="2A9056F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5、</w:t>
      </w:r>
      <w:r>
        <w:rPr>
          <w:rFonts w:hint="eastAsia" w:ascii="华文仿宋" w:hAnsi="华文仿宋" w:eastAsia="华文仿宋" w:cs="华文仿宋"/>
          <w:sz w:val="24"/>
          <w:szCs w:val="24"/>
        </w:rPr>
        <w:t>乙方应做到文明工作，处理好与其他在建专业施工队伍的关系，同时遵守甲方现场施工的管理规定，保证工作场地的清洁卫生符合相关环境卫生管理的规定，做到完工清场。</w:t>
      </w:r>
    </w:p>
    <w:p w14:paraId="61990F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6、</w:t>
      </w:r>
      <w:r>
        <w:rPr>
          <w:rFonts w:hint="eastAsia" w:ascii="华文仿宋" w:hAnsi="华文仿宋" w:eastAsia="华文仿宋" w:cs="华文仿宋"/>
          <w:sz w:val="24"/>
          <w:szCs w:val="24"/>
        </w:rPr>
        <w:t>乙方如在观测过程中损坏甲方现场的其他工程成品或半成品，乙方应赔偿甲方损失，甲方有权在监测结算款中扣除。</w:t>
      </w:r>
    </w:p>
    <w:p w14:paraId="76D6F60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7、</w:t>
      </w:r>
      <w:r>
        <w:rPr>
          <w:rFonts w:hint="eastAsia" w:ascii="华文仿宋" w:hAnsi="华文仿宋" w:eastAsia="华文仿宋" w:cs="华文仿宋"/>
          <w:sz w:val="24"/>
          <w:szCs w:val="24"/>
        </w:rPr>
        <w:t>乙方进行监测所需的仪器设备进场，须提前1日将该仪器、设备之品名、规格、生产厂家及误差范围等资料以书面形式通知甲方，经甲方确认后方可进场工作。</w:t>
      </w:r>
    </w:p>
    <w:p w14:paraId="198E9F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8、</w:t>
      </w:r>
      <w:r>
        <w:rPr>
          <w:rFonts w:hint="eastAsia" w:ascii="华文仿宋" w:hAnsi="华文仿宋" w:eastAsia="华文仿宋" w:cs="华文仿宋"/>
          <w:sz w:val="24"/>
          <w:szCs w:val="24"/>
        </w:rPr>
        <w:t>乙方在达到本合同约定的付款条件并经甲方确认后应向甲方发出付款通知及提供相关资料。若乙方未及时提供前述资料，甲方可相应顺延付款时间。</w:t>
      </w:r>
    </w:p>
    <w:p w14:paraId="273764A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9、</w:t>
      </w:r>
      <w:r>
        <w:rPr>
          <w:rFonts w:hint="eastAsia" w:ascii="华文仿宋" w:hAnsi="华文仿宋" w:eastAsia="华文仿宋" w:cs="华文仿宋"/>
          <w:sz w:val="24"/>
          <w:szCs w:val="24"/>
        </w:rPr>
        <w:t>乙方在监测过程中，如遇到监测数据可能会引发工程质量问题时应立即告知甲方，并及时提交书面报告，如因乙方未及时报告数据造成损失的，损失费用由乙方承担。</w:t>
      </w:r>
    </w:p>
    <w:p w14:paraId="55FA50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10、</w:t>
      </w:r>
      <w:r>
        <w:rPr>
          <w:rFonts w:hint="eastAsia" w:ascii="华文仿宋" w:hAnsi="华文仿宋" w:eastAsia="华文仿宋" w:cs="华文仿宋"/>
          <w:sz w:val="24"/>
          <w:szCs w:val="24"/>
        </w:rPr>
        <w:t>乙方在甲方认为有必要时应及时出具中间报告给甲方。</w:t>
      </w:r>
    </w:p>
    <w:p w14:paraId="5E18F9B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11、</w:t>
      </w:r>
      <w:r>
        <w:rPr>
          <w:rFonts w:hint="eastAsia" w:ascii="华文仿宋" w:hAnsi="华文仿宋" w:eastAsia="华文仿宋" w:cs="华文仿宋"/>
          <w:sz w:val="24"/>
          <w:szCs w:val="24"/>
        </w:rPr>
        <w:t>认真做好监测工作，确保所有观测数据均可靠、真实。监测量出现异常时及时通知甲方，并免费增加观测次数。</w:t>
      </w:r>
    </w:p>
    <w:p w14:paraId="0BD3C71A">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华文仿宋" w:hAnsi="华文仿宋" w:eastAsia="华文仿宋" w:cs="华文仿宋"/>
          <w:bCs/>
          <w:sz w:val="24"/>
          <w:szCs w:val="24"/>
        </w:rPr>
      </w:pPr>
      <w:r>
        <w:rPr>
          <w:rFonts w:hint="eastAsia" w:ascii="华文仿宋" w:hAnsi="华文仿宋" w:eastAsia="华文仿宋" w:cs="华文仿宋"/>
          <w:b/>
          <w:sz w:val="24"/>
          <w:szCs w:val="24"/>
        </w:rPr>
        <w:t>第</w:t>
      </w:r>
      <w:r>
        <w:rPr>
          <w:rFonts w:hint="eastAsia" w:ascii="华文仿宋" w:hAnsi="华文仿宋" w:eastAsia="华文仿宋" w:cs="华文仿宋"/>
          <w:b/>
          <w:sz w:val="24"/>
          <w:szCs w:val="24"/>
          <w:lang w:eastAsia="zh-CN"/>
        </w:rPr>
        <w:t>八</w:t>
      </w:r>
      <w:r>
        <w:rPr>
          <w:rFonts w:hint="eastAsia" w:ascii="华文仿宋" w:hAnsi="华文仿宋" w:eastAsia="华文仿宋" w:cs="华文仿宋"/>
          <w:b/>
          <w:sz w:val="24"/>
          <w:szCs w:val="24"/>
        </w:rPr>
        <w:t>条</w:t>
      </w:r>
      <w:r>
        <w:rPr>
          <w:rFonts w:hint="eastAsia" w:ascii="华文仿宋" w:hAnsi="华文仿宋" w:eastAsia="华文仿宋" w:cs="华文仿宋"/>
          <w:sz w:val="24"/>
          <w:szCs w:val="24"/>
        </w:rPr>
        <w:t xml:space="preserve"> </w:t>
      </w:r>
      <w:r>
        <w:rPr>
          <w:rFonts w:hint="eastAsia" w:ascii="华文仿宋" w:hAnsi="华文仿宋" w:eastAsia="华文仿宋" w:cs="华文仿宋"/>
          <w:b/>
          <w:bCs/>
          <w:sz w:val="24"/>
          <w:szCs w:val="24"/>
        </w:rPr>
        <w:t>违约责任</w:t>
      </w:r>
    </w:p>
    <w:p w14:paraId="6F77ACC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1、</w:t>
      </w:r>
      <w:r>
        <w:rPr>
          <w:rFonts w:hint="eastAsia" w:ascii="华文仿宋" w:hAnsi="华文仿宋" w:eastAsia="华文仿宋" w:cs="华文仿宋"/>
          <w:sz w:val="24"/>
          <w:szCs w:val="24"/>
        </w:rPr>
        <w:t>乙方未按合同约定的时间进行监测或提交有关资料报告的，每逾期一日，按监测预算总价款的5‰向甲方支付违约金。逾期超过10日，甲方有权解除合同，乙方除应支付上述违约金外，还应按合同总价款的20％向甲方支付违约金。</w:t>
      </w:r>
      <w:r>
        <w:rPr>
          <w:rFonts w:hint="eastAsia" w:ascii="华文仿宋" w:hAnsi="华文仿宋" w:eastAsia="华文仿宋" w:cs="华文仿宋"/>
          <w:sz w:val="24"/>
          <w:szCs w:val="24"/>
          <w:lang w:eastAsia="zh-CN"/>
        </w:rPr>
        <w:t>乙方应退还甲方所支付所有款项，甲方不再向乙方支付任何费用。</w:t>
      </w:r>
    </w:p>
    <w:p w14:paraId="4C81DB11">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2、</w:t>
      </w:r>
      <w:r>
        <w:rPr>
          <w:rFonts w:hint="eastAsia" w:ascii="华文仿宋" w:hAnsi="华文仿宋" w:eastAsia="华文仿宋" w:cs="华文仿宋"/>
          <w:sz w:val="24"/>
          <w:szCs w:val="24"/>
        </w:rPr>
        <w:t>乙方在</w:t>
      </w:r>
      <w:r>
        <w:rPr>
          <w:rFonts w:hint="eastAsia" w:ascii="华文仿宋" w:hAnsi="华文仿宋" w:eastAsia="华文仿宋" w:cs="华文仿宋"/>
          <w:sz w:val="24"/>
          <w:szCs w:val="24"/>
          <w:lang w:eastAsia="zh-CN"/>
        </w:rPr>
        <w:t>监</w:t>
      </w:r>
      <w:r>
        <w:rPr>
          <w:rFonts w:hint="eastAsia" w:ascii="华文仿宋" w:hAnsi="华文仿宋" w:eastAsia="华文仿宋" w:cs="华文仿宋"/>
          <w:sz w:val="24"/>
          <w:szCs w:val="24"/>
        </w:rPr>
        <w:t>测过程中，除不可抗力或甲方原因外不得以任何理由停工。非上述原因连续停工两个工作日以上的，甲方有权单方解除合同，乙方应退回甲方已付款项；造成甲方工期延误或其他损失的，乙方应予赔偿。</w:t>
      </w:r>
    </w:p>
    <w:p w14:paraId="68807677">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3、</w:t>
      </w:r>
      <w:r>
        <w:rPr>
          <w:rFonts w:hint="eastAsia" w:ascii="华文仿宋" w:hAnsi="华文仿宋" w:eastAsia="华文仿宋" w:cs="华文仿宋"/>
          <w:sz w:val="24"/>
          <w:szCs w:val="24"/>
        </w:rPr>
        <w:t>乙方人员在施工区内出现打架斗殴、损坏工程成品、安全事故等情况时，所产生的对乙方人员或第三人的损害由乙方承担责任并负责赔偿；由此造成的甲方的损失，由乙方负责全额赔偿，甲方可直接在应付乙方款项中扣除。</w:t>
      </w:r>
    </w:p>
    <w:p w14:paraId="58329199">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4、</w:t>
      </w:r>
      <w:r>
        <w:rPr>
          <w:rFonts w:hint="eastAsia" w:ascii="华文仿宋" w:hAnsi="华文仿宋" w:eastAsia="华文仿宋" w:cs="华文仿宋"/>
          <w:sz w:val="24"/>
          <w:szCs w:val="24"/>
        </w:rPr>
        <w:t>乙方不按时进场开工，在甲方发出书面通知后的5个工作日内仍不进场监测的，甲方有权单方解除合同。</w:t>
      </w:r>
    </w:p>
    <w:p w14:paraId="210A6189">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5、</w:t>
      </w:r>
      <w:r>
        <w:rPr>
          <w:rFonts w:hint="eastAsia" w:ascii="华文仿宋" w:hAnsi="华文仿宋" w:eastAsia="华文仿宋" w:cs="华文仿宋"/>
          <w:sz w:val="24"/>
          <w:szCs w:val="24"/>
        </w:rPr>
        <w:t>若乙方所提交的</w:t>
      </w:r>
      <w:r>
        <w:rPr>
          <w:rFonts w:hint="eastAsia" w:ascii="华文仿宋" w:hAnsi="华文仿宋" w:eastAsia="华文仿宋" w:cs="华文仿宋"/>
          <w:sz w:val="24"/>
          <w:szCs w:val="24"/>
          <w:lang w:eastAsia="zh-CN"/>
        </w:rPr>
        <w:t>监</w:t>
      </w:r>
      <w:r>
        <w:rPr>
          <w:rFonts w:hint="eastAsia" w:ascii="华文仿宋" w:hAnsi="华文仿宋" w:eastAsia="华文仿宋" w:cs="华文仿宋"/>
          <w:sz w:val="24"/>
          <w:szCs w:val="24"/>
        </w:rPr>
        <w:t>测报告及有关资料不完整，不齐全，或内容不符合甲方要求的，乙方应按甲方要求补充或重新进行监测作业，补齐有关资料，并承担相应费用。由此造成监测延误的，乙方应当承担逾期履行的违约责任。</w:t>
      </w:r>
    </w:p>
    <w:p w14:paraId="2AEF557E">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CN"/>
        </w:rPr>
        <w:t>6、</w:t>
      </w:r>
      <w:r>
        <w:rPr>
          <w:rFonts w:hint="eastAsia" w:ascii="华文仿宋" w:hAnsi="华文仿宋" w:eastAsia="华文仿宋" w:cs="华文仿宋"/>
          <w:sz w:val="24"/>
          <w:szCs w:val="24"/>
        </w:rPr>
        <w:t>若乙方在</w:t>
      </w:r>
      <w:r>
        <w:rPr>
          <w:rFonts w:hint="eastAsia" w:ascii="华文仿宋" w:hAnsi="华文仿宋" w:eastAsia="华文仿宋" w:cs="华文仿宋"/>
          <w:sz w:val="24"/>
          <w:szCs w:val="24"/>
          <w:lang w:eastAsia="zh-CN"/>
        </w:rPr>
        <w:t>监</w:t>
      </w:r>
      <w:r>
        <w:rPr>
          <w:rFonts w:hint="eastAsia" w:ascii="华文仿宋" w:hAnsi="华文仿宋" w:eastAsia="华文仿宋" w:cs="华文仿宋"/>
          <w:sz w:val="24"/>
          <w:szCs w:val="24"/>
        </w:rPr>
        <w:t>测过程中，由于工作失误所提供的数据不准确，对甲方造成的损失由乙方自行承担全部责任。</w:t>
      </w:r>
    </w:p>
    <w:p w14:paraId="331FDE4F">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b/>
          <w:sz w:val="24"/>
          <w:szCs w:val="24"/>
        </w:rPr>
        <w:t>第</w:t>
      </w:r>
      <w:r>
        <w:rPr>
          <w:rFonts w:hint="eastAsia" w:ascii="华文仿宋" w:hAnsi="华文仿宋" w:eastAsia="华文仿宋" w:cs="华文仿宋"/>
          <w:b/>
          <w:sz w:val="24"/>
          <w:szCs w:val="24"/>
          <w:lang w:eastAsia="zh-CN"/>
        </w:rPr>
        <w:t>九</w:t>
      </w:r>
      <w:r>
        <w:rPr>
          <w:rFonts w:hint="eastAsia" w:ascii="华文仿宋" w:hAnsi="华文仿宋" w:eastAsia="华文仿宋" w:cs="华文仿宋"/>
          <w:b/>
          <w:sz w:val="24"/>
          <w:szCs w:val="24"/>
        </w:rPr>
        <w:t>条</w:t>
      </w:r>
      <w:r>
        <w:rPr>
          <w:rFonts w:hint="eastAsia" w:ascii="华文仿宋" w:hAnsi="华文仿宋" w:eastAsia="华文仿宋" w:cs="华文仿宋"/>
          <w:sz w:val="24"/>
          <w:szCs w:val="24"/>
        </w:rPr>
        <w:t xml:space="preserve"> 本合同在履行的过程中发生的争议，</w:t>
      </w:r>
      <w:r>
        <w:rPr>
          <w:rFonts w:hint="eastAsia" w:ascii="华文仿宋" w:hAnsi="华文仿宋" w:eastAsia="华文仿宋" w:cs="华文仿宋"/>
          <w:sz w:val="24"/>
          <w:szCs w:val="24"/>
          <w:lang w:eastAsia="zh-CN"/>
        </w:rPr>
        <w:t>各</w:t>
      </w:r>
      <w:r>
        <w:rPr>
          <w:rFonts w:hint="eastAsia" w:ascii="华文仿宋" w:hAnsi="华文仿宋" w:eastAsia="华文仿宋" w:cs="华文仿宋"/>
          <w:sz w:val="24"/>
          <w:szCs w:val="24"/>
        </w:rPr>
        <w:t>方当事人协商解决，协商不成的依法向项目所在地</w:t>
      </w:r>
      <w:r>
        <w:rPr>
          <w:rFonts w:hint="eastAsia" w:ascii="华文仿宋" w:hAnsi="华文仿宋" w:eastAsia="华文仿宋" w:cs="华文仿宋"/>
          <w:sz w:val="24"/>
          <w:szCs w:val="24"/>
          <w:lang w:eastAsia="zh-CN"/>
        </w:rPr>
        <w:t>有管辖权的</w:t>
      </w:r>
      <w:r>
        <w:rPr>
          <w:rFonts w:hint="eastAsia" w:ascii="华文仿宋" w:hAnsi="华文仿宋" w:eastAsia="华文仿宋" w:cs="华文仿宋"/>
          <w:sz w:val="24"/>
          <w:szCs w:val="24"/>
        </w:rPr>
        <w:t>人民法院起诉。</w:t>
      </w:r>
    </w:p>
    <w:p w14:paraId="1D90964D">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b/>
          <w:sz w:val="24"/>
          <w:szCs w:val="24"/>
        </w:rPr>
        <w:t>第十条</w:t>
      </w:r>
      <w:r>
        <w:rPr>
          <w:rFonts w:hint="eastAsia" w:ascii="华文仿宋" w:hAnsi="华文仿宋" w:eastAsia="华文仿宋" w:cs="华文仿宋"/>
          <w:sz w:val="24"/>
          <w:szCs w:val="24"/>
        </w:rPr>
        <w:t xml:space="preserve"> 本合同未尽事宜，</w:t>
      </w:r>
      <w:r>
        <w:rPr>
          <w:rFonts w:hint="eastAsia" w:ascii="华文仿宋" w:hAnsi="华文仿宋" w:eastAsia="华文仿宋" w:cs="华文仿宋"/>
          <w:sz w:val="24"/>
          <w:szCs w:val="24"/>
          <w:lang w:eastAsia="zh-CN"/>
        </w:rPr>
        <w:t>各</w:t>
      </w:r>
      <w:r>
        <w:rPr>
          <w:rFonts w:hint="eastAsia" w:ascii="华文仿宋" w:hAnsi="华文仿宋" w:eastAsia="华文仿宋" w:cs="华文仿宋"/>
          <w:sz w:val="24"/>
          <w:szCs w:val="24"/>
        </w:rPr>
        <w:t>方友好协商解决，必要时可签订补充协议，补充协议与本合同具有同等效力。</w:t>
      </w:r>
    </w:p>
    <w:p w14:paraId="21C8668B">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b/>
          <w:sz w:val="24"/>
          <w:szCs w:val="24"/>
        </w:rPr>
        <w:t>第十</w:t>
      </w:r>
      <w:r>
        <w:rPr>
          <w:rFonts w:hint="eastAsia" w:ascii="华文仿宋" w:hAnsi="华文仿宋" w:eastAsia="华文仿宋" w:cs="华文仿宋"/>
          <w:b/>
          <w:sz w:val="24"/>
          <w:szCs w:val="24"/>
          <w:lang w:eastAsia="zh-CN"/>
        </w:rPr>
        <w:t>一</w:t>
      </w:r>
      <w:r>
        <w:rPr>
          <w:rFonts w:hint="eastAsia" w:ascii="华文仿宋" w:hAnsi="华文仿宋" w:eastAsia="华文仿宋" w:cs="华文仿宋"/>
          <w:b/>
          <w:sz w:val="24"/>
          <w:szCs w:val="24"/>
        </w:rPr>
        <w:t xml:space="preserve">条 </w:t>
      </w:r>
      <w:r>
        <w:rPr>
          <w:rFonts w:hint="eastAsia" w:ascii="华文仿宋" w:hAnsi="华文仿宋" w:eastAsia="华文仿宋" w:cs="华文仿宋"/>
          <w:sz w:val="24"/>
          <w:szCs w:val="24"/>
        </w:rPr>
        <w:t>本合同一式</w:t>
      </w:r>
      <w:r>
        <w:rPr>
          <w:rFonts w:hint="eastAsia" w:ascii="华文仿宋" w:hAnsi="华文仿宋" w:eastAsia="华文仿宋" w:cs="华文仿宋"/>
          <w:sz w:val="24"/>
          <w:szCs w:val="24"/>
          <w:u w:val="single"/>
        </w:rPr>
        <w:t>壹拾</w:t>
      </w:r>
      <w:r>
        <w:rPr>
          <w:rFonts w:hint="eastAsia" w:ascii="华文仿宋" w:hAnsi="华文仿宋" w:eastAsia="华文仿宋" w:cs="华文仿宋"/>
          <w:sz w:val="24"/>
          <w:szCs w:val="24"/>
          <w:u w:val="single"/>
          <w:lang w:eastAsia="zh-CN"/>
        </w:rPr>
        <w:t>贰</w:t>
      </w:r>
      <w:r>
        <w:rPr>
          <w:rFonts w:hint="eastAsia" w:ascii="华文仿宋" w:hAnsi="华文仿宋" w:eastAsia="华文仿宋" w:cs="华文仿宋"/>
          <w:sz w:val="24"/>
          <w:szCs w:val="24"/>
        </w:rPr>
        <w:t>份，甲方执</w:t>
      </w:r>
      <w:r>
        <w:rPr>
          <w:rFonts w:hint="eastAsia" w:ascii="华文仿宋" w:hAnsi="华文仿宋" w:eastAsia="华文仿宋" w:cs="华文仿宋"/>
          <w:sz w:val="24"/>
          <w:szCs w:val="24"/>
          <w:u w:val="single"/>
          <w:lang w:eastAsia="zh-CN"/>
        </w:rPr>
        <w:t>肆</w:t>
      </w:r>
      <w:r>
        <w:rPr>
          <w:rFonts w:hint="eastAsia" w:ascii="华文仿宋" w:hAnsi="华文仿宋" w:eastAsia="华文仿宋" w:cs="华文仿宋"/>
          <w:sz w:val="24"/>
          <w:szCs w:val="24"/>
        </w:rPr>
        <w:t>份，乙方执</w:t>
      </w:r>
      <w:r>
        <w:rPr>
          <w:rFonts w:hint="eastAsia" w:ascii="华文仿宋" w:hAnsi="华文仿宋" w:eastAsia="华文仿宋" w:cs="华文仿宋"/>
          <w:sz w:val="24"/>
          <w:szCs w:val="24"/>
          <w:u w:val="single"/>
        </w:rPr>
        <w:t>肆</w:t>
      </w:r>
      <w:r>
        <w:rPr>
          <w:rFonts w:hint="eastAsia" w:ascii="华文仿宋" w:hAnsi="华文仿宋" w:eastAsia="华文仿宋" w:cs="华文仿宋"/>
          <w:sz w:val="24"/>
          <w:szCs w:val="24"/>
        </w:rPr>
        <w:t>份，丙方执</w:t>
      </w:r>
      <w:r>
        <w:rPr>
          <w:rFonts w:hint="eastAsia" w:ascii="华文仿宋" w:hAnsi="华文仿宋" w:eastAsia="华文仿宋" w:cs="华文仿宋"/>
          <w:sz w:val="24"/>
          <w:szCs w:val="24"/>
          <w:u w:val="single"/>
          <w:lang w:eastAsia="zh-CN"/>
        </w:rPr>
        <w:t>肆</w:t>
      </w:r>
      <w:r>
        <w:rPr>
          <w:rFonts w:hint="eastAsia" w:ascii="华文仿宋" w:hAnsi="华文仿宋" w:eastAsia="华文仿宋" w:cs="华文仿宋"/>
          <w:sz w:val="24"/>
          <w:szCs w:val="24"/>
        </w:rPr>
        <w:t xml:space="preserve"> 份，具有同等法律效力。</w:t>
      </w:r>
    </w:p>
    <w:p w14:paraId="405F91AD">
      <w:pPr>
        <w:pStyle w:val="3"/>
        <w:keepNext w:val="0"/>
        <w:keepLines w:val="0"/>
        <w:pageBreakBefore w:val="0"/>
        <w:widowControl w:val="0"/>
        <w:kinsoku/>
        <w:wordWrap/>
        <w:overflowPunct/>
        <w:topLinePunct w:val="0"/>
        <w:autoSpaceDE/>
        <w:autoSpaceDN/>
        <w:bidi w:val="0"/>
        <w:adjustRightInd/>
        <w:spacing w:after="0" w:afterLines="0" w:line="360" w:lineRule="auto"/>
        <w:ind w:firstLine="482" w:firstLineChars="200"/>
        <w:textAlignment w:val="auto"/>
      </w:pPr>
      <w:r>
        <w:rPr>
          <w:rFonts w:hint="eastAsia" w:ascii="华文仿宋" w:hAnsi="华文仿宋" w:eastAsia="华文仿宋" w:cs="华文仿宋"/>
          <w:b/>
          <w:sz w:val="24"/>
          <w:szCs w:val="24"/>
        </w:rPr>
        <w:t>第十</w:t>
      </w:r>
      <w:r>
        <w:rPr>
          <w:rFonts w:hint="eastAsia" w:ascii="华文仿宋" w:hAnsi="华文仿宋" w:eastAsia="华文仿宋" w:cs="华文仿宋"/>
          <w:b/>
          <w:sz w:val="24"/>
          <w:szCs w:val="24"/>
          <w:lang w:eastAsia="zh-CN"/>
        </w:rPr>
        <w:t>二</w:t>
      </w:r>
      <w:r>
        <w:rPr>
          <w:rFonts w:hint="eastAsia" w:ascii="华文仿宋" w:hAnsi="华文仿宋" w:eastAsia="华文仿宋" w:cs="华文仿宋"/>
          <w:b/>
          <w:sz w:val="24"/>
          <w:szCs w:val="24"/>
        </w:rPr>
        <w:t>条</w:t>
      </w:r>
      <w:r>
        <w:rPr>
          <w:rFonts w:hint="eastAsia" w:ascii="华文仿宋" w:hAnsi="华文仿宋" w:eastAsia="华文仿宋" w:cs="华文仿宋"/>
          <w:sz w:val="24"/>
          <w:szCs w:val="24"/>
        </w:rPr>
        <w:t>本合同经各方签字盖章或盖章后生效。</w:t>
      </w:r>
    </w:p>
    <w:p w14:paraId="6A4864B0">
      <w:pPr>
        <w:widowControl/>
        <w:tabs>
          <w:tab w:val="left" w:pos="8391"/>
        </w:tabs>
        <w:autoSpaceDE w:val="0"/>
        <w:autoSpaceDN w:val="0"/>
        <w:snapToGrid w:val="0"/>
        <w:spacing w:line="360" w:lineRule="auto"/>
        <w:ind w:right="-69" w:firstLine="840" w:firstLineChars="350"/>
        <w:textAlignment w:val="bottom"/>
        <w:rPr>
          <w:rFonts w:eastAsia="仿宋_GB2312"/>
          <w:color w:val="auto"/>
          <w:kern w:val="0"/>
          <w:sz w:val="24"/>
          <w:highlight w:val="none"/>
        </w:rPr>
      </w:pPr>
    </w:p>
    <w:tbl>
      <w:tblPr>
        <w:tblStyle w:val="4"/>
        <w:tblW w:w="0" w:type="auto"/>
        <w:jc w:val="center"/>
        <w:tblLayout w:type="fixed"/>
        <w:tblCellMar>
          <w:top w:w="0" w:type="dxa"/>
          <w:left w:w="108" w:type="dxa"/>
          <w:bottom w:w="0" w:type="dxa"/>
          <w:right w:w="108" w:type="dxa"/>
        </w:tblCellMar>
      </w:tblPr>
      <w:tblGrid>
        <w:gridCol w:w="4643"/>
        <w:gridCol w:w="4643"/>
      </w:tblGrid>
      <w:tr w14:paraId="20610A34">
        <w:tblPrEx>
          <w:tblCellMar>
            <w:top w:w="0" w:type="dxa"/>
            <w:left w:w="108" w:type="dxa"/>
            <w:bottom w:w="0" w:type="dxa"/>
            <w:right w:w="108" w:type="dxa"/>
          </w:tblCellMar>
        </w:tblPrEx>
        <w:trPr>
          <w:jc w:val="center"/>
        </w:trPr>
        <w:tc>
          <w:tcPr>
            <w:tcW w:w="4643" w:type="dxa"/>
            <w:noWrap w:val="0"/>
            <w:vAlign w:val="top"/>
          </w:tcPr>
          <w:p w14:paraId="3A0ED231">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甲方名称</w:t>
            </w:r>
            <w:r>
              <w:rPr>
                <w:rFonts w:eastAsia="仿宋_GB2312"/>
                <w:color w:val="auto"/>
                <w:spacing w:val="-20"/>
                <w:kern w:val="0"/>
                <w:sz w:val="24"/>
                <w:highlight w:val="none"/>
              </w:rPr>
              <w:t>（盖章）</w:t>
            </w:r>
            <w:r>
              <w:rPr>
                <w:rFonts w:hint="eastAsia" w:eastAsia="仿宋_GB2312"/>
                <w:color w:val="auto"/>
                <w:kern w:val="0"/>
                <w:sz w:val="24"/>
                <w:highlight w:val="none"/>
              </w:rPr>
              <w:t>：</w:t>
            </w:r>
          </w:p>
          <w:p w14:paraId="42727A21">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地址：</w:t>
            </w:r>
          </w:p>
          <w:p w14:paraId="028DA103">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代表人（签字</w:t>
            </w:r>
            <w:r>
              <w:rPr>
                <w:rFonts w:hint="eastAsia" w:eastAsia="仿宋_GB2312"/>
                <w:color w:val="auto"/>
                <w:kern w:val="0"/>
                <w:sz w:val="24"/>
                <w:highlight w:val="none"/>
                <w:lang w:eastAsia="zh-CN"/>
              </w:rPr>
              <w:t>或盖章</w:t>
            </w:r>
            <w:r>
              <w:rPr>
                <w:rFonts w:eastAsia="仿宋_GB2312"/>
                <w:color w:val="auto"/>
                <w:kern w:val="0"/>
                <w:sz w:val="24"/>
                <w:highlight w:val="none"/>
              </w:rPr>
              <w:t>）：</w:t>
            </w:r>
          </w:p>
          <w:p w14:paraId="5A9131F4">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电话：</w:t>
            </w:r>
          </w:p>
          <w:p w14:paraId="4F6B5796">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开户银行：</w:t>
            </w:r>
          </w:p>
          <w:p w14:paraId="378A9149">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账号：</w:t>
            </w:r>
          </w:p>
        </w:tc>
        <w:tc>
          <w:tcPr>
            <w:tcW w:w="4643" w:type="dxa"/>
            <w:noWrap w:val="0"/>
            <w:vAlign w:val="top"/>
          </w:tcPr>
          <w:p w14:paraId="7649914F">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乙方名称</w:t>
            </w:r>
            <w:r>
              <w:rPr>
                <w:rFonts w:eastAsia="仿宋_GB2312"/>
                <w:color w:val="auto"/>
                <w:spacing w:val="-20"/>
                <w:kern w:val="0"/>
                <w:sz w:val="24"/>
                <w:highlight w:val="none"/>
              </w:rPr>
              <w:t>（盖章）</w:t>
            </w:r>
            <w:r>
              <w:rPr>
                <w:rFonts w:hint="eastAsia" w:eastAsia="仿宋_GB2312"/>
                <w:color w:val="auto"/>
                <w:kern w:val="0"/>
                <w:sz w:val="24"/>
                <w:highlight w:val="none"/>
              </w:rPr>
              <w:t>：</w:t>
            </w:r>
          </w:p>
          <w:p w14:paraId="13150C32">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地址：</w:t>
            </w:r>
          </w:p>
          <w:p w14:paraId="0F8F0197">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代表人（签字</w:t>
            </w:r>
            <w:r>
              <w:rPr>
                <w:rFonts w:hint="eastAsia" w:eastAsia="仿宋_GB2312"/>
                <w:color w:val="auto"/>
                <w:kern w:val="0"/>
                <w:sz w:val="24"/>
                <w:highlight w:val="none"/>
                <w:lang w:eastAsia="zh-CN"/>
              </w:rPr>
              <w:t>或盖章</w:t>
            </w:r>
            <w:r>
              <w:rPr>
                <w:rFonts w:eastAsia="仿宋_GB2312"/>
                <w:color w:val="auto"/>
                <w:kern w:val="0"/>
                <w:sz w:val="24"/>
                <w:highlight w:val="none"/>
              </w:rPr>
              <w:t>）：</w:t>
            </w:r>
          </w:p>
          <w:p w14:paraId="0C9497BE">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电话：</w:t>
            </w:r>
          </w:p>
          <w:p w14:paraId="25367C6E">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开户银行：</w:t>
            </w:r>
          </w:p>
          <w:p w14:paraId="5D40EAFB">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账号：</w:t>
            </w:r>
          </w:p>
        </w:tc>
      </w:tr>
    </w:tbl>
    <w:p w14:paraId="7D326E66">
      <w:pPr>
        <w:autoSpaceDE w:val="0"/>
        <w:autoSpaceDN w:val="0"/>
        <w:adjustRightInd w:val="0"/>
        <w:spacing w:line="360" w:lineRule="auto"/>
        <w:jc w:val="left"/>
        <w:rPr>
          <w:rFonts w:ascii="仿宋_GB2312" w:hAnsi="仿宋_GB2312" w:eastAsia="仿宋_GB2312" w:cs="仿宋_GB2312"/>
          <w:b/>
          <w:bCs/>
          <w:color w:val="auto"/>
          <w:sz w:val="32"/>
          <w:szCs w:val="32"/>
          <w:highlight w:val="none"/>
        </w:rPr>
      </w:pPr>
    </w:p>
    <w:p w14:paraId="6E00254A">
      <w:pPr>
        <w:autoSpaceDE w:val="0"/>
        <w:autoSpaceDN w:val="0"/>
        <w:adjustRightInd w:val="0"/>
        <w:jc w:val="left"/>
        <w:rPr>
          <w:rFonts w:ascii="仿宋_GB2312" w:hAnsi="仿宋_GB2312" w:eastAsia="仿宋_GB2312" w:cs="仿宋_GB2312"/>
          <w:b/>
          <w:bCs/>
          <w:color w:val="auto"/>
          <w:sz w:val="32"/>
          <w:szCs w:val="32"/>
          <w:highlight w:val="none"/>
        </w:rPr>
      </w:pPr>
    </w:p>
    <w:p w14:paraId="3D24D9B6">
      <w:pPr>
        <w:pStyle w:val="3"/>
        <w:rPr>
          <w:rFonts w:ascii="Times New Roman" w:hAnsi="Times New Roman" w:eastAsia="仿宋_GB2312"/>
          <w:color w:val="auto"/>
          <w:highlight w:val="none"/>
        </w:rPr>
      </w:pPr>
    </w:p>
    <w:p w14:paraId="08F76844">
      <w:pPr>
        <w:rPr>
          <w:rFonts w:eastAsia="仿宋_GB2312"/>
          <w:color w:val="auto"/>
          <w:sz w:val="24"/>
          <w:highlight w:val="none"/>
        </w:rPr>
      </w:pPr>
      <w:r>
        <w:rPr>
          <w:rFonts w:eastAsia="仿宋_GB2312"/>
          <w:color w:val="auto"/>
          <w:sz w:val="24"/>
          <w:highlight w:val="none"/>
        </w:rPr>
        <w:br w:type="page"/>
      </w:r>
    </w:p>
    <w:p w14:paraId="414A09A0">
      <w:pPr>
        <w:spacing w:line="360" w:lineRule="auto"/>
        <w:ind w:firstLine="480" w:firstLineChars="200"/>
        <w:rPr>
          <w:rFonts w:eastAsia="仿宋_GB2312"/>
          <w:color w:val="auto"/>
          <w:sz w:val="24"/>
          <w:highlight w:val="none"/>
        </w:rPr>
      </w:pPr>
      <w:r>
        <w:rPr>
          <w:rFonts w:eastAsia="仿宋_GB2312"/>
          <w:color w:val="auto"/>
          <w:sz w:val="24"/>
          <w:highlight w:val="none"/>
        </w:rPr>
        <w:t>合同附件1：</w:t>
      </w:r>
    </w:p>
    <w:tbl>
      <w:tblPr>
        <w:tblStyle w:val="4"/>
        <w:tblW w:w="5000" w:type="pct"/>
        <w:tblInd w:w="0" w:type="dxa"/>
        <w:tblLayout w:type="autofit"/>
        <w:tblCellMar>
          <w:top w:w="0" w:type="dxa"/>
          <w:left w:w="108" w:type="dxa"/>
          <w:bottom w:w="0" w:type="dxa"/>
          <w:right w:w="108" w:type="dxa"/>
        </w:tblCellMar>
      </w:tblPr>
      <w:tblGrid>
        <w:gridCol w:w="1571"/>
        <w:gridCol w:w="2299"/>
        <w:gridCol w:w="2524"/>
        <w:gridCol w:w="2128"/>
      </w:tblGrid>
      <w:tr w14:paraId="6BC4963F">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43589707">
            <w:pPr>
              <w:widowControl/>
              <w:jc w:val="center"/>
              <w:rPr>
                <w:rFonts w:eastAsia="仿宋_GB2312"/>
                <w:b/>
                <w:bCs/>
                <w:color w:val="auto"/>
                <w:kern w:val="0"/>
                <w:sz w:val="32"/>
                <w:szCs w:val="32"/>
                <w:highlight w:val="none"/>
              </w:rPr>
            </w:pPr>
            <w:r>
              <w:rPr>
                <w:rFonts w:eastAsia="仿宋_GB2312"/>
                <w:b/>
                <w:bCs/>
                <w:color w:val="auto"/>
                <w:kern w:val="0"/>
                <w:sz w:val="32"/>
                <w:szCs w:val="32"/>
                <w:highlight w:val="none"/>
              </w:rPr>
              <w:t>政府采购项目货物（服务）验收入库报告单</w:t>
            </w:r>
          </w:p>
        </w:tc>
      </w:tr>
      <w:tr w14:paraId="69E3BDF9">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21FBE091">
            <w:pPr>
              <w:widowControl/>
              <w:jc w:val="center"/>
              <w:rPr>
                <w:rFonts w:eastAsia="仿宋_GB2312"/>
                <w:b/>
                <w:bCs/>
                <w:color w:val="auto"/>
                <w:kern w:val="0"/>
                <w:sz w:val="24"/>
                <w:highlight w:val="none"/>
              </w:rPr>
            </w:pPr>
            <w:r>
              <w:rPr>
                <w:rFonts w:eastAsia="仿宋_GB2312"/>
                <w:b/>
                <w:bCs/>
                <w:color w:val="auto"/>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66FAE787">
            <w:pPr>
              <w:widowControl/>
              <w:jc w:val="center"/>
              <w:rPr>
                <w:rFonts w:eastAsia="仿宋_GB2312"/>
                <w:color w:val="auto"/>
                <w:kern w:val="0"/>
                <w:sz w:val="24"/>
                <w:highlight w:val="none"/>
              </w:rPr>
            </w:pPr>
            <w:r>
              <w:rPr>
                <w:rFonts w:eastAsia="仿宋_GB2312"/>
                <w:color w:val="auto"/>
                <w:kern w:val="0"/>
                <w:sz w:val="24"/>
                <w:highlight w:val="none"/>
              </w:rPr>
              <w:t>　</w:t>
            </w:r>
          </w:p>
        </w:tc>
      </w:tr>
      <w:tr w14:paraId="5170F55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01CB32C">
            <w:pPr>
              <w:widowControl/>
              <w:jc w:val="center"/>
              <w:rPr>
                <w:rFonts w:eastAsia="仿宋_GB2312"/>
                <w:b/>
                <w:bCs/>
                <w:color w:val="auto"/>
                <w:kern w:val="0"/>
                <w:sz w:val="24"/>
                <w:highlight w:val="none"/>
              </w:rPr>
            </w:pPr>
            <w:r>
              <w:rPr>
                <w:rFonts w:eastAsia="仿宋_GB2312"/>
                <w:b/>
                <w:bCs/>
                <w:color w:val="auto"/>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12089266">
            <w:pPr>
              <w:widowControl/>
              <w:jc w:val="center"/>
              <w:rPr>
                <w:rFonts w:eastAsia="仿宋_GB2312"/>
                <w:color w:val="auto"/>
                <w:kern w:val="0"/>
                <w:sz w:val="24"/>
                <w:highlight w:val="none"/>
              </w:rPr>
            </w:pPr>
            <w:r>
              <w:rPr>
                <w:rFonts w:eastAsia="仿宋_GB2312"/>
                <w:color w:val="auto"/>
                <w:kern w:val="0"/>
                <w:sz w:val="24"/>
                <w:highlight w:val="none"/>
              </w:rPr>
              <w:t>　</w:t>
            </w:r>
          </w:p>
        </w:tc>
      </w:tr>
      <w:tr w14:paraId="4F37F990">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5101EF4A">
            <w:pPr>
              <w:widowControl/>
              <w:jc w:val="center"/>
              <w:rPr>
                <w:rFonts w:eastAsia="仿宋_GB2312"/>
                <w:b/>
                <w:bCs/>
                <w:color w:val="auto"/>
                <w:kern w:val="0"/>
                <w:sz w:val="24"/>
                <w:highlight w:val="none"/>
              </w:rPr>
            </w:pPr>
            <w:r>
              <w:rPr>
                <w:rFonts w:eastAsia="仿宋_GB2312"/>
                <w:b/>
                <w:bCs/>
                <w:color w:val="auto"/>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11F2239D">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166A0F18">
            <w:pPr>
              <w:widowControl/>
              <w:jc w:val="center"/>
              <w:rPr>
                <w:rFonts w:eastAsia="仿宋_GB2312"/>
                <w:b/>
                <w:bCs/>
                <w:color w:val="auto"/>
                <w:kern w:val="0"/>
                <w:sz w:val="24"/>
                <w:highlight w:val="none"/>
              </w:rPr>
            </w:pPr>
            <w:r>
              <w:rPr>
                <w:rFonts w:eastAsia="仿宋_GB2312"/>
                <w:b/>
                <w:bCs/>
                <w:color w:val="auto"/>
                <w:kern w:val="0"/>
                <w:sz w:val="24"/>
                <w:highlight w:val="none"/>
              </w:rPr>
              <w:t>合同金额</w:t>
            </w:r>
          </w:p>
        </w:tc>
        <w:tc>
          <w:tcPr>
            <w:tcW w:w="1248" w:type="pct"/>
            <w:tcBorders>
              <w:top w:val="nil"/>
              <w:left w:val="nil"/>
              <w:bottom w:val="single" w:color="auto" w:sz="4" w:space="0"/>
              <w:right w:val="single" w:color="auto" w:sz="8" w:space="0"/>
            </w:tcBorders>
            <w:noWrap/>
            <w:vAlign w:val="center"/>
          </w:tcPr>
          <w:p w14:paraId="67898B04">
            <w:pPr>
              <w:widowControl/>
              <w:jc w:val="left"/>
              <w:rPr>
                <w:rFonts w:eastAsia="仿宋_GB2312"/>
                <w:b/>
                <w:bCs/>
                <w:color w:val="auto"/>
                <w:kern w:val="0"/>
                <w:sz w:val="24"/>
                <w:highlight w:val="none"/>
              </w:rPr>
            </w:pPr>
            <w:r>
              <w:rPr>
                <w:rFonts w:eastAsia="仿宋_GB2312"/>
                <w:b/>
                <w:bCs/>
                <w:color w:val="auto"/>
                <w:kern w:val="0"/>
                <w:sz w:val="24"/>
                <w:highlight w:val="none"/>
              </w:rPr>
              <w:t>¥</w:t>
            </w:r>
            <w:r>
              <w:rPr>
                <w:rFonts w:hint="eastAsia" w:eastAsia="仿宋_GB2312"/>
                <w:b/>
                <w:bCs/>
                <w:color w:val="auto"/>
                <w:kern w:val="0"/>
                <w:sz w:val="24"/>
                <w:highlight w:val="none"/>
              </w:rPr>
              <w:t>：</w:t>
            </w:r>
          </w:p>
        </w:tc>
      </w:tr>
      <w:tr w14:paraId="71D66EDF">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419FB57E">
            <w:pPr>
              <w:widowControl/>
              <w:jc w:val="left"/>
              <w:rPr>
                <w:rFonts w:eastAsia="仿宋_GB2312"/>
                <w:b/>
                <w:bCs/>
                <w:color w:val="auto"/>
                <w:kern w:val="0"/>
                <w:sz w:val="24"/>
                <w:highlight w:val="none"/>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64744EE9">
            <w:pPr>
              <w:widowControl/>
              <w:jc w:val="left"/>
              <w:rPr>
                <w:rFonts w:eastAsia="仿宋_GB2312"/>
                <w:color w:val="auto"/>
                <w:kern w:val="0"/>
                <w:sz w:val="24"/>
                <w:highlight w:val="none"/>
              </w:rPr>
            </w:pPr>
          </w:p>
        </w:tc>
        <w:tc>
          <w:tcPr>
            <w:tcW w:w="1481" w:type="pct"/>
            <w:tcBorders>
              <w:top w:val="nil"/>
              <w:left w:val="nil"/>
              <w:bottom w:val="single" w:color="auto" w:sz="4" w:space="0"/>
              <w:right w:val="single" w:color="auto" w:sz="4" w:space="0"/>
            </w:tcBorders>
            <w:noWrap/>
            <w:vAlign w:val="center"/>
          </w:tcPr>
          <w:p w14:paraId="0EEC69DF">
            <w:pPr>
              <w:widowControl/>
              <w:jc w:val="center"/>
              <w:rPr>
                <w:rFonts w:eastAsia="仿宋_GB2312"/>
                <w:b/>
                <w:bCs/>
                <w:color w:val="auto"/>
                <w:kern w:val="0"/>
                <w:sz w:val="24"/>
                <w:highlight w:val="none"/>
              </w:rPr>
            </w:pPr>
            <w:r>
              <w:rPr>
                <w:rFonts w:eastAsia="仿宋_GB2312"/>
                <w:b/>
                <w:bCs/>
                <w:color w:val="auto"/>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14:paraId="685436EB">
            <w:pPr>
              <w:widowControl/>
              <w:jc w:val="center"/>
              <w:rPr>
                <w:rFonts w:eastAsia="仿宋_GB2312"/>
                <w:color w:val="auto"/>
                <w:kern w:val="0"/>
                <w:sz w:val="24"/>
                <w:highlight w:val="none"/>
              </w:rPr>
            </w:pPr>
            <w:r>
              <w:rPr>
                <w:rFonts w:eastAsia="仿宋_GB2312"/>
                <w:color w:val="auto"/>
                <w:kern w:val="0"/>
                <w:sz w:val="24"/>
                <w:highlight w:val="none"/>
              </w:rPr>
              <w:t>　</w:t>
            </w:r>
          </w:p>
        </w:tc>
      </w:tr>
      <w:tr w14:paraId="25123DE6">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6A50A1CF">
            <w:pPr>
              <w:widowControl/>
              <w:jc w:val="center"/>
              <w:rPr>
                <w:rFonts w:eastAsia="仿宋_GB2312"/>
                <w:b/>
                <w:bCs/>
                <w:color w:val="auto"/>
                <w:kern w:val="0"/>
                <w:sz w:val="24"/>
                <w:highlight w:val="none"/>
              </w:rPr>
            </w:pPr>
            <w:r>
              <w:rPr>
                <w:rFonts w:eastAsia="仿宋_GB2312"/>
                <w:b/>
                <w:bCs/>
                <w:color w:val="auto"/>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5BAA75CF">
            <w:pPr>
              <w:widowControl/>
              <w:jc w:val="center"/>
              <w:rPr>
                <w:rFonts w:eastAsia="仿宋_GB2312"/>
                <w:color w:val="auto"/>
                <w:kern w:val="0"/>
                <w:sz w:val="24"/>
                <w:highlight w:val="none"/>
              </w:rPr>
            </w:pPr>
            <w:r>
              <w:rPr>
                <w:rFonts w:eastAsia="仿宋_GB2312"/>
                <w:color w:val="auto"/>
                <w:kern w:val="0"/>
                <w:sz w:val="24"/>
                <w:highlight w:val="none"/>
              </w:rPr>
              <w:t>　</w:t>
            </w:r>
          </w:p>
        </w:tc>
      </w:tr>
      <w:tr w14:paraId="11797F3A">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72B491A">
            <w:pPr>
              <w:widowControl/>
              <w:jc w:val="center"/>
              <w:rPr>
                <w:rFonts w:eastAsia="仿宋_GB2312"/>
                <w:b/>
                <w:bCs/>
                <w:color w:val="auto"/>
                <w:kern w:val="0"/>
                <w:sz w:val="24"/>
                <w:highlight w:val="none"/>
              </w:rPr>
            </w:pPr>
            <w:r>
              <w:rPr>
                <w:rFonts w:eastAsia="仿宋_GB2312"/>
                <w:b/>
                <w:bCs/>
                <w:color w:val="auto"/>
                <w:kern w:val="0"/>
                <w:sz w:val="24"/>
                <w:highlight w:val="none"/>
              </w:rPr>
              <w:t>开户行</w:t>
            </w:r>
          </w:p>
        </w:tc>
        <w:tc>
          <w:tcPr>
            <w:tcW w:w="1349" w:type="pct"/>
            <w:tcBorders>
              <w:top w:val="nil"/>
              <w:left w:val="nil"/>
              <w:bottom w:val="single" w:color="auto" w:sz="4" w:space="0"/>
              <w:right w:val="single" w:color="auto" w:sz="4" w:space="0"/>
            </w:tcBorders>
            <w:noWrap/>
            <w:vAlign w:val="center"/>
          </w:tcPr>
          <w:p w14:paraId="0F95581D">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4BDF663D">
            <w:pPr>
              <w:widowControl/>
              <w:jc w:val="center"/>
              <w:rPr>
                <w:rFonts w:eastAsia="仿宋_GB2312"/>
                <w:b/>
                <w:bCs/>
                <w:color w:val="auto"/>
                <w:kern w:val="0"/>
                <w:sz w:val="24"/>
                <w:highlight w:val="none"/>
              </w:rPr>
            </w:pPr>
            <w:r>
              <w:rPr>
                <w:rFonts w:eastAsia="仿宋_GB2312"/>
                <w:b/>
                <w:bCs/>
                <w:color w:val="auto"/>
                <w:kern w:val="0"/>
                <w:sz w:val="24"/>
                <w:highlight w:val="none"/>
              </w:rPr>
              <w:t>账号</w:t>
            </w:r>
          </w:p>
        </w:tc>
        <w:tc>
          <w:tcPr>
            <w:tcW w:w="1248" w:type="pct"/>
            <w:tcBorders>
              <w:top w:val="nil"/>
              <w:left w:val="nil"/>
              <w:bottom w:val="single" w:color="auto" w:sz="4" w:space="0"/>
              <w:right w:val="single" w:color="auto" w:sz="8" w:space="0"/>
            </w:tcBorders>
            <w:noWrap/>
            <w:vAlign w:val="center"/>
          </w:tcPr>
          <w:p w14:paraId="08D6E2E8">
            <w:pPr>
              <w:widowControl/>
              <w:jc w:val="center"/>
              <w:rPr>
                <w:rFonts w:eastAsia="仿宋_GB2312"/>
                <w:color w:val="auto"/>
                <w:kern w:val="0"/>
                <w:sz w:val="24"/>
                <w:highlight w:val="none"/>
              </w:rPr>
            </w:pPr>
            <w:r>
              <w:rPr>
                <w:rFonts w:eastAsia="仿宋_GB2312"/>
                <w:color w:val="auto"/>
                <w:kern w:val="0"/>
                <w:sz w:val="24"/>
                <w:highlight w:val="none"/>
              </w:rPr>
              <w:t>　</w:t>
            </w:r>
          </w:p>
        </w:tc>
      </w:tr>
      <w:tr w14:paraId="729DCFBF">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5373AF3A">
            <w:pPr>
              <w:widowControl/>
              <w:jc w:val="center"/>
              <w:rPr>
                <w:rFonts w:eastAsia="仿宋_GB2312"/>
                <w:b/>
                <w:bCs/>
                <w:color w:val="auto"/>
                <w:kern w:val="0"/>
                <w:sz w:val="24"/>
                <w:highlight w:val="none"/>
              </w:rPr>
            </w:pPr>
            <w:r>
              <w:rPr>
                <w:rFonts w:eastAsia="仿宋_GB2312"/>
                <w:b/>
                <w:bCs/>
                <w:color w:val="auto"/>
                <w:kern w:val="0"/>
                <w:sz w:val="24"/>
                <w:highlight w:val="none"/>
              </w:rPr>
              <w:t>联系人</w:t>
            </w:r>
          </w:p>
        </w:tc>
        <w:tc>
          <w:tcPr>
            <w:tcW w:w="1349" w:type="pct"/>
            <w:tcBorders>
              <w:top w:val="nil"/>
              <w:left w:val="nil"/>
              <w:bottom w:val="nil"/>
              <w:right w:val="single" w:color="auto" w:sz="4" w:space="0"/>
            </w:tcBorders>
            <w:noWrap/>
            <w:vAlign w:val="center"/>
          </w:tcPr>
          <w:p w14:paraId="48D63FF3">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nil"/>
              <w:right w:val="single" w:color="auto" w:sz="4" w:space="0"/>
            </w:tcBorders>
            <w:noWrap/>
            <w:vAlign w:val="center"/>
          </w:tcPr>
          <w:p w14:paraId="5BB77072">
            <w:pPr>
              <w:widowControl/>
              <w:jc w:val="center"/>
              <w:rPr>
                <w:rFonts w:eastAsia="仿宋_GB2312"/>
                <w:b/>
                <w:bCs/>
                <w:color w:val="auto"/>
                <w:kern w:val="0"/>
                <w:sz w:val="24"/>
                <w:highlight w:val="none"/>
              </w:rPr>
            </w:pPr>
            <w:r>
              <w:rPr>
                <w:rFonts w:eastAsia="仿宋_GB2312"/>
                <w:b/>
                <w:bCs/>
                <w:color w:val="auto"/>
                <w:kern w:val="0"/>
                <w:sz w:val="24"/>
                <w:highlight w:val="none"/>
              </w:rPr>
              <w:t>电话</w:t>
            </w:r>
          </w:p>
        </w:tc>
        <w:tc>
          <w:tcPr>
            <w:tcW w:w="1248" w:type="pct"/>
            <w:tcBorders>
              <w:top w:val="nil"/>
              <w:left w:val="nil"/>
              <w:bottom w:val="nil"/>
              <w:right w:val="single" w:color="auto" w:sz="8" w:space="0"/>
            </w:tcBorders>
            <w:noWrap/>
            <w:vAlign w:val="center"/>
          </w:tcPr>
          <w:p w14:paraId="73EE0B0F">
            <w:pPr>
              <w:widowControl/>
              <w:jc w:val="center"/>
              <w:rPr>
                <w:rFonts w:eastAsia="仿宋_GB2312"/>
                <w:color w:val="auto"/>
                <w:kern w:val="0"/>
                <w:sz w:val="24"/>
                <w:highlight w:val="none"/>
              </w:rPr>
            </w:pPr>
            <w:r>
              <w:rPr>
                <w:rFonts w:eastAsia="仿宋_GB2312"/>
                <w:color w:val="auto"/>
                <w:kern w:val="0"/>
                <w:sz w:val="24"/>
                <w:highlight w:val="none"/>
              </w:rPr>
              <w:t>　</w:t>
            </w:r>
          </w:p>
        </w:tc>
      </w:tr>
      <w:tr w14:paraId="263DF0BA">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00DB0692">
            <w:pPr>
              <w:widowControl/>
              <w:jc w:val="left"/>
              <w:rPr>
                <w:rFonts w:eastAsia="仿宋_GB2312"/>
                <w:b/>
                <w:bCs/>
                <w:color w:val="auto"/>
                <w:kern w:val="0"/>
                <w:sz w:val="24"/>
                <w:highlight w:val="none"/>
              </w:rPr>
            </w:pPr>
            <w:r>
              <w:rPr>
                <w:rFonts w:eastAsia="仿宋_GB2312"/>
                <w:b/>
                <w:bCs/>
                <w:color w:val="auto"/>
                <w:kern w:val="0"/>
                <w:sz w:val="24"/>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79AFE682">
            <w:pPr>
              <w:widowControl/>
              <w:jc w:val="left"/>
              <w:rPr>
                <w:rFonts w:eastAsia="仿宋_GB2312"/>
                <w:b/>
                <w:bCs/>
                <w:color w:val="auto"/>
                <w:kern w:val="0"/>
                <w:sz w:val="24"/>
                <w:highlight w:val="none"/>
              </w:rPr>
            </w:pPr>
            <w:r>
              <w:rPr>
                <w:rFonts w:eastAsia="仿宋_GB2312"/>
                <w:b/>
                <w:bCs/>
                <w:color w:val="auto"/>
                <w:kern w:val="0"/>
                <w:sz w:val="24"/>
                <w:highlight w:val="none"/>
              </w:rPr>
              <w:t xml:space="preserve">   使用单位验收意见：（盖章）</w:t>
            </w:r>
          </w:p>
          <w:p w14:paraId="28D3D79C">
            <w:pPr>
              <w:rPr>
                <w:rFonts w:eastAsia="仿宋_GB2312"/>
                <w:color w:val="auto"/>
                <w:sz w:val="24"/>
                <w:highlight w:val="none"/>
              </w:rPr>
            </w:pPr>
          </w:p>
        </w:tc>
      </w:tr>
      <w:tr w14:paraId="14DDCD46">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645CADBF">
            <w:pPr>
              <w:widowControl/>
              <w:jc w:val="center"/>
              <w:rPr>
                <w:rFonts w:eastAsia="仿宋_GB2312"/>
                <w:b/>
                <w:bCs/>
                <w:color w:val="auto"/>
                <w:kern w:val="0"/>
                <w:sz w:val="24"/>
                <w:highlight w:val="none"/>
              </w:rPr>
            </w:pPr>
            <w:r>
              <w:rPr>
                <w:rFonts w:eastAsia="仿宋_GB2312"/>
                <w:b/>
                <w:bCs/>
                <w:color w:val="auto"/>
                <w:kern w:val="0"/>
                <w:sz w:val="24"/>
                <w:highlight w:val="none"/>
              </w:rPr>
              <w:t xml:space="preserve"> 签字：</w:t>
            </w:r>
          </w:p>
        </w:tc>
        <w:tc>
          <w:tcPr>
            <w:tcW w:w="1349" w:type="pct"/>
            <w:tcBorders>
              <w:top w:val="nil"/>
              <w:left w:val="nil"/>
              <w:bottom w:val="nil"/>
              <w:right w:val="nil"/>
            </w:tcBorders>
            <w:noWrap/>
            <w:vAlign w:val="center"/>
          </w:tcPr>
          <w:p w14:paraId="5BC37943">
            <w:pPr>
              <w:widowControl/>
              <w:jc w:val="center"/>
              <w:rPr>
                <w:rFonts w:eastAsia="仿宋_GB2312"/>
                <w:b/>
                <w:bCs/>
                <w:color w:val="auto"/>
                <w:kern w:val="0"/>
                <w:sz w:val="24"/>
                <w:highlight w:val="none"/>
              </w:rPr>
            </w:pPr>
          </w:p>
        </w:tc>
        <w:tc>
          <w:tcPr>
            <w:tcW w:w="1481" w:type="pct"/>
            <w:tcBorders>
              <w:top w:val="nil"/>
              <w:left w:val="single" w:color="auto" w:sz="4" w:space="0"/>
              <w:bottom w:val="nil"/>
              <w:right w:val="nil"/>
            </w:tcBorders>
            <w:noWrap/>
            <w:vAlign w:val="center"/>
          </w:tcPr>
          <w:p w14:paraId="40B68D15">
            <w:pPr>
              <w:widowControl/>
              <w:jc w:val="center"/>
              <w:rPr>
                <w:rFonts w:eastAsia="仿宋_GB2312"/>
                <w:b/>
                <w:bCs/>
                <w:color w:val="auto"/>
                <w:kern w:val="0"/>
                <w:sz w:val="24"/>
                <w:highlight w:val="none"/>
              </w:rPr>
            </w:pPr>
            <w:r>
              <w:rPr>
                <w:rFonts w:eastAsia="仿宋_GB2312"/>
                <w:b/>
                <w:bCs/>
                <w:color w:val="auto"/>
                <w:kern w:val="0"/>
                <w:sz w:val="24"/>
                <w:highlight w:val="none"/>
              </w:rPr>
              <w:t>签字：</w:t>
            </w:r>
          </w:p>
        </w:tc>
        <w:tc>
          <w:tcPr>
            <w:tcW w:w="1248" w:type="pct"/>
            <w:tcBorders>
              <w:top w:val="nil"/>
              <w:left w:val="nil"/>
              <w:bottom w:val="nil"/>
              <w:right w:val="single" w:color="auto" w:sz="8" w:space="0"/>
            </w:tcBorders>
            <w:noWrap w:val="0"/>
            <w:vAlign w:val="top"/>
          </w:tcPr>
          <w:p w14:paraId="4A0F94A7">
            <w:pPr>
              <w:widowControl/>
              <w:jc w:val="left"/>
              <w:rPr>
                <w:rFonts w:eastAsia="仿宋_GB2312"/>
                <w:b/>
                <w:bCs/>
                <w:color w:val="auto"/>
                <w:kern w:val="0"/>
                <w:sz w:val="24"/>
                <w:highlight w:val="none"/>
              </w:rPr>
            </w:pPr>
            <w:r>
              <w:rPr>
                <w:rFonts w:eastAsia="仿宋_GB2312"/>
                <w:b/>
                <w:bCs/>
                <w:color w:val="auto"/>
                <w:kern w:val="0"/>
                <w:sz w:val="24"/>
                <w:highlight w:val="none"/>
              </w:rPr>
              <w:t>　</w:t>
            </w:r>
          </w:p>
        </w:tc>
      </w:tr>
      <w:tr w14:paraId="211339ED">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1D9985DC">
            <w:pPr>
              <w:widowControl/>
              <w:jc w:val="left"/>
              <w:rPr>
                <w:rFonts w:eastAsia="仿宋_GB2312"/>
                <w:color w:val="auto"/>
                <w:kern w:val="0"/>
                <w:sz w:val="22"/>
                <w:szCs w:val="22"/>
                <w:highlight w:val="none"/>
              </w:rPr>
            </w:pPr>
            <w:r>
              <w:rPr>
                <w:rFonts w:eastAsia="仿宋_GB2312"/>
                <w:color w:val="auto"/>
                <w:kern w:val="0"/>
                <w:sz w:val="22"/>
                <w:szCs w:val="22"/>
                <w:highlight w:val="none"/>
              </w:rPr>
              <w:t>　</w:t>
            </w:r>
          </w:p>
        </w:tc>
        <w:tc>
          <w:tcPr>
            <w:tcW w:w="1349" w:type="pct"/>
            <w:tcBorders>
              <w:top w:val="nil"/>
              <w:left w:val="nil"/>
              <w:bottom w:val="single" w:color="auto" w:sz="4" w:space="0"/>
              <w:right w:val="nil"/>
            </w:tcBorders>
            <w:noWrap w:val="0"/>
            <w:vAlign w:val="bottom"/>
          </w:tcPr>
          <w:p w14:paraId="3C099B41">
            <w:pPr>
              <w:widowControl/>
              <w:jc w:val="right"/>
              <w:rPr>
                <w:rFonts w:eastAsia="仿宋_GB2312"/>
                <w:color w:val="auto"/>
                <w:kern w:val="0"/>
                <w:sz w:val="22"/>
                <w:szCs w:val="22"/>
                <w:highlight w:val="none"/>
              </w:rPr>
            </w:pPr>
            <w:r>
              <w:rPr>
                <w:rFonts w:eastAsia="仿宋_GB2312"/>
                <w:color w:val="auto"/>
                <w:kern w:val="0"/>
                <w:sz w:val="22"/>
                <w:szCs w:val="22"/>
                <w:highlight w:val="none"/>
              </w:rPr>
              <w:t>年     月   日</w:t>
            </w:r>
          </w:p>
        </w:tc>
        <w:tc>
          <w:tcPr>
            <w:tcW w:w="1481" w:type="pct"/>
            <w:tcBorders>
              <w:top w:val="nil"/>
              <w:left w:val="single" w:color="auto" w:sz="4" w:space="0"/>
              <w:bottom w:val="single" w:color="auto" w:sz="4" w:space="0"/>
              <w:right w:val="nil"/>
            </w:tcBorders>
            <w:noWrap/>
            <w:vAlign w:val="center"/>
          </w:tcPr>
          <w:p w14:paraId="0D7EEEC8">
            <w:pPr>
              <w:widowControl/>
              <w:jc w:val="left"/>
              <w:rPr>
                <w:rFonts w:eastAsia="仿宋_GB2312"/>
                <w:color w:val="auto"/>
                <w:kern w:val="0"/>
                <w:sz w:val="22"/>
                <w:szCs w:val="22"/>
                <w:highlight w:val="none"/>
              </w:rPr>
            </w:pPr>
            <w:r>
              <w:rPr>
                <w:rFonts w:eastAsia="仿宋_GB2312"/>
                <w:color w:val="auto"/>
                <w:kern w:val="0"/>
                <w:sz w:val="22"/>
                <w:szCs w:val="22"/>
                <w:highlight w:val="none"/>
              </w:rPr>
              <w:t>　</w:t>
            </w:r>
          </w:p>
        </w:tc>
        <w:tc>
          <w:tcPr>
            <w:tcW w:w="1248" w:type="pct"/>
            <w:tcBorders>
              <w:top w:val="nil"/>
              <w:left w:val="nil"/>
              <w:bottom w:val="single" w:color="auto" w:sz="4" w:space="0"/>
              <w:right w:val="single" w:color="auto" w:sz="8" w:space="0"/>
            </w:tcBorders>
            <w:noWrap w:val="0"/>
            <w:vAlign w:val="bottom"/>
          </w:tcPr>
          <w:p w14:paraId="6573E152">
            <w:pPr>
              <w:widowControl/>
              <w:jc w:val="right"/>
              <w:rPr>
                <w:rFonts w:eastAsia="仿宋_GB2312"/>
                <w:color w:val="auto"/>
                <w:kern w:val="0"/>
                <w:sz w:val="22"/>
                <w:szCs w:val="22"/>
                <w:highlight w:val="none"/>
              </w:rPr>
            </w:pPr>
            <w:r>
              <w:rPr>
                <w:rFonts w:eastAsia="仿宋_GB2312"/>
                <w:color w:val="auto"/>
                <w:kern w:val="0"/>
                <w:sz w:val="22"/>
                <w:szCs w:val="22"/>
                <w:highlight w:val="none"/>
              </w:rPr>
              <w:t>年   月   日</w:t>
            </w:r>
          </w:p>
        </w:tc>
      </w:tr>
      <w:tr w14:paraId="33416D0A">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60D4BF2D">
            <w:pPr>
              <w:widowControl/>
              <w:jc w:val="center"/>
              <w:rPr>
                <w:rFonts w:eastAsia="仿宋_GB2312"/>
                <w:b/>
                <w:bCs/>
                <w:color w:val="auto"/>
                <w:kern w:val="0"/>
                <w:sz w:val="22"/>
                <w:szCs w:val="22"/>
                <w:highlight w:val="none"/>
              </w:rPr>
            </w:pPr>
            <w:r>
              <w:rPr>
                <w:rFonts w:eastAsia="仿宋_GB2312"/>
                <w:b/>
                <w:bCs/>
                <w:color w:val="auto"/>
                <w:kern w:val="0"/>
                <w:sz w:val="22"/>
                <w:szCs w:val="22"/>
                <w:highlight w:val="none"/>
              </w:rPr>
              <w:t>采购内容</w:t>
            </w:r>
          </w:p>
        </w:tc>
      </w:tr>
      <w:tr w14:paraId="3DC60411">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6FE252FC">
            <w:pPr>
              <w:widowControl/>
              <w:jc w:val="center"/>
              <w:rPr>
                <w:rFonts w:eastAsia="仿宋_GB2312"/>
                <w:b/>
                <w:bCs/>
                <w:color w:val="auto"/>
                <w:kern w:val="0"/>
                <w:sz w:val="28"/>
                <w:szCs w:val="28"/>
                <w:highlight w:val="none"/>
              </w:rPr>
            </w:pPr>
            <w:r>
              <w:rPr>
                <w:rFonts w:eastAsia="仿宋_GB2312"/>
                <w:b/>
                <w:bCs/>
                <w:color w:val="auto"/>
                <w:kern w:val="0"/>
                <w:sz w:val="28"/>
                <w:szCs w:val="28"/>
                <w:highlight w:val="none"/>
              </w:rPr>
              <w:t>采购内容请列明品目、规格、型号、数量、单价、总价</w:t>
            </w:r>
          </w:p>
        </w:tc>
      </w:tr>
    </w:tbl>
    <w:p w14:paraId="2F1A28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KSOF0B79BE30">
    <w:panose1 w:val="02010600040101010101"/>
    <w:charset w:val="86"/>
    <w:family w:val="auto"/>
    <w:pitch w:val="default"/>
    <w:sig w:usb0="00000001" w:usb1="00000000" w:usb2="00000000" w:usb3="00000000" w:csb0="00040001" w:csb1="00000000"/>
  </w:font>
  <w:font w:name="KSOF0B7949D1">
    <w:panose1 w:val="02010600040101010101"/>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122B6"/>
    <w:multiLevelType w:val="singleLevel"/>
    <w:tmpl w:val="8ED122B6"/>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FD0616"/>
    <w:rsid w:val="28FD0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Body Text"/>
    <w:basedOn w:val="1"/>
    <w:qFormat/>
    <w:uiPriority w:val="1"/>
    <w:pPr>
      <w:spacing w:after="156" w:afterLines="50" w:line="360" w:lineRule="auto"/>
    </w:pPr>
    <w:rPr>
      <w:rFonts w:ascii="宋体" w:hAnsi="宋体"/>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2025-11-26T12:30:00Z</dcterms:created>
  <dc:creator>赋玖</dc:creator>
  <cp:lastModifiedBy>赋玖</cp:lastModifiedBy>
  <dcterms:modified xsi:type="dcterms:W3CDTF">2025-11-26T12:30:50Z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E70B11C243564BD3A55DD24601D636CE_11</vt:lpwstr>
  </property>
  <property fmtid="{D5CDD505-2E9C-101B-9397-08002B2CF9AE}" pid="4" name="KSOTemplateDocerSaveRecord">
    <vt:lpwstr>eyJoZGlkIjoiYjhmMTU1N2Y1M2FlOGEyMTk5NmJiZWM0NWVkZmNjMmYiLCJ1c2VySWQiOiIzMzc4NTAzOTgifQ==</vt:lpwstr>
  </property>
</Properties>
</file>