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版本号：ZCZX2025-CS-24120251210001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曲江新区国家文化出口基地文化出海服务项目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ZCZX2025-CS-241</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曲江新区国家文化出口基地文化出海服务项目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曲江新区国家文化出口基地文化出海服务项目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助力曲江新区服贸企业/文化企业出海宣传推广，推动本地企业走向国际市场，展示品牌价值与专业能力，通过交流适应国际市场，建立海外认知度。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采购包1（曲江新区国家文化出口基地文化出海服务项目）：属于专门面向中小企业采购。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029-68660156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助力曲江新区服贸企业/文化企业出海宣传推广，推动本地企业走向国际市场，展示品牌价值与专业能力，通过交流适应国际市场，建立海外认知度。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曲江新区国家文化出口基地文化出海服务项目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标的名称：曲江新区国家文化出口基地文化出海服务项目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一、服务内容</w:t>
            </w:r>
          </w:p>
          <w:p>
            <w:pPr>
              <w:pStyle w:val="null3"/>
            </w:pPr>
            <w:r>
              <w:rPr>
                <w:rFonts w:ascii="仿宋_GB2312" w:hAnsi="仿宋_GB2312" w:cs="仿宋_GB2312" w:eastAsia="仿宋_GB2312"/>
                <w:sz w:val="20"/>
                <w:b/>
              </w:rPr>
              <w:t>（一）组织文化企业出海交流活动（预计一周）</w:t>
            </w:r>
          </w:p>
          <w:p>
            <w:pPr>
              <w:pStyle w:val="null3"/>
            </w:pPr>
            <w:r>
              <w:rPr>
                <w:rFonts w:ascii="仿宋_GB2312" w:hAnsi="仿宋_GB2312" w:cs="仿宋_GB2312" w:eastAsia="仿宋_GB2312"/>
                <w:sz w:val="20"/>
              </w:rPr>
              <w:t>面向曲江新区服贸企业/文化企业，配合相关部门的企业出海计划，以发起者身份，组织一次文化出海交流活动。</w:t>
            </w:r>
          </w:p>
          <w:p>
            <w:pPr>
              <w:pStyle w:val="null3"/>
            </w:pPr>
            <w:r>
              <w:rPr>
                <w:rFonts w:ascii="仿宋_GB2312" w:hAnsi="仿宋_GB2312" w:cs="仿宋_GB2312" w:eastAsia="仿宋_GB2312"/>
                <w:sz w:val="20"/>
              </w:rPr>
              <w:t>1.</w:t>
            </w:r>
            <w:r>
              <w:rPr>
                <w:rFonts w:ascii="仿宋_GB2312" w:hAnsi="仿宋_GB2312" w:cs="仿宋_GB2312" w:eastAsia="仿宋_GB2312"/>
                <w:sz w:val="20"/>
              </w:rPr>
              <w:t>面向对象</w:t>
            </w:r>
          </w:p>
          <w:p>
            <w:pPr>
              <w:pStyle w:val="null3"/>
            </w:pPr>
            <w:r>
              <w:rPr>
                <w:rFonts w:ascii="仿宋_GB2312" w:hAnsi="仿宋_GB2312" w:cs="仿宋_GB2312" w:eastAsia="仿宋_GB2312"/>
                <w:sz w:val="20"/>
              </w:rPr>
              <w:t>曲江新区有意向参与出海交流活动的文化企业代表；相关部门要求参与出海交流活动的个人/机构代表。</w:t>
            </w:r>
          </w:p>
          <w:p>
            <w:pPr>
              <w:pStyle w:val="null3"/>
            </w:pPr>
            <w:r>
              <w:rPr>
                <w:rFonts w:ascii="仿宋_GB2312" w:hAnsi="仿宋_GB2312" w:cs="仿宋_GB2312" w:eastAsia="仿宋_GB2312"/>
                <w:sz w:val="20"/>
              </w:rPr>
              <w:t>2.</w:t>
            </w:r>
            <w:r>
              <w:rPr>
                <w:rFonts w:ascii="仿宋_GB2312" w:hAnsi="仿宋_GB2312" w:cs="仿宋_GB2312" w:eastAsia="仿宋_GB2312"/>
                <w:sz w:val="20"/>
              </w:rPr>
              <w:t>服务内容</w:t>
            </w:r>
          </w:p>
          <w:p>
            <w:pPr>
              <w:pStyle w:val="null3"/>
            </w:pPr>
            <w:r>
              <w:rPr>
                <w:rFonts w:ascii="仿宋_GB2312" w:hAnsi="仿宋_GB2312" w:cs="仿宋_GB2312" w:eastAsia="仿宋_GB2312"/>
                <w:sz w:val="20"/>
              </w:rPr>
              <w:t>（1）根据相关部门指导意见，确定参展目的地，拟定活动方案，进行活动前期筹备工作，包括但不限于行程安排、预算制定、组建团队等。暂定参展目的地为亚洲地区，参展企业数量不超过5家，参与人数不超过10人。</w:t>
            </w:r>
          </w:p>
          <w:p>
            <w:pPr>
              <w:pStyle w:val="null3"/>
            </w:pPr>
            <w:r>
              <w:rPr>
                <w:rFonts w:ascii="仿宋_GB2312" w:hAnsi="仿宋_GB2312" w:cs="仿宋_GB2312" w:eastAsia="仿宋_GB2312"/>
                <w:sz w:val="20"/>
              </w:rPr>
              <w:t>（2）参与出海交流活动的运营执行与保障服务（如人员/行程安排、地接服务、交流活动现场执行、住宿餐饮交通保障等）；</w:t>
            </w:r>
          </w:p>
          <w:p>
            <w:pPr>
              <w:pStyle w:val="null3"/>
            </w:pPr>
            <w:r>
              <w:rPr>
                <w:rFonts w:ascii="仿宋_GB2312" w:hAnsi="仿宋_GB2312" w:cs="仿宋_GB2312" w:eastAsia="仿宋_GB2312"/>
                <w:sz w:val="20"/>
              </w:rPr>
              <w:t>（3）协助参展企业向展会进行5个标准展位的预定及基础搭建，进行展后总结，复盘活动效果，撰写总结报告。</w:t>
            </w:r>
          </w:p>
          <w:p>
            <w:pPr>
              <w:pStyle w:val="null3"/>
            </w:pPr>
            <w:r>
              <w:rPr>
                <w:rFonts w:ascii="仿宋_GB2312" w:hAnsi="仿宋_GB2312" w:cs="仿宋_GB2312" w:eastAsia="仿宋_GB2312"/>
                <w:sz w:val="20"/>
                <w:b/>
              </w:rPr>
              <w:t>（二）海外媒体宣传投放服务</w:t>
            </w:r>
          </w:p>
          <w:p>
            <w:pPr>
              <w:pStyle w:val="null3"/>
            </w:pPr>
            <w:r>
              <w:rPr>
                <w:rFonts w:ascii="仿宋_GB2312" w:hAnsi="仿宋_GB2312" w:cs="仿宋_GB2312" w:eastAsia="仿宋_GB2312"/>
                <w:sz w:val="20"/>
              </w:rPr>
              <w:t>针对出海企业、项目的推广需求，有效整合海外媒体广告资源，根据采购人提供的推广内容，进行媒体投放服务。</w:t>
            </w:r>
          </w:p>
          <w:p>
            <w:pPr>
              <w:pStyle w:val="null3"/>
            </w:pPr>
            <w:r>
              <w:rPr>
                <w:rFonts w:ascii="仿宋_GB2312" w:hAnsi="仿宋_GB2312" w:cs="仿宋_GB2312" w:eastAsia="仿宋_GB2312"/>
                <w:sz w:val="20"/>
              </w:rPr>
              <w:t>1.</w:t>
            </w:r>
            <w:r>
              <w:rPr>
                <w:rFonts w:ascii="仿宋_GB2312" w:hAnsi="仿宋_GB2312" w:cs="仿宋_GB2312" w:eastAsia="仿宋_GB2312"/>
                <w:sz w:val="20"/>
              </w:rPr>
              <w:t>推广对象</w:t>
            </w:r>
          </w:p>
          <w:p>
            <w:pPr>
              <w:pStyle w:val="null3"/>
            </w:pPr>
            <w:r>
              <w:rPr>
                <w:rFonts w:ascii="仿宋_GB2312" w:hAnsi="仿宋_GB2312" w:cs="仿宋_GB2312" w:eastAsia="仿宋_GB2312"/>
                <w:sz w:val="20"/>
              </w:rPr>
              <w:t>曲江新区已确定参与本方案第一项出海活动的文化企业。</w:t>
            </w:r>
          </w:p>
          <w:p>
            <w:pPr>
              <w:pStyle w:val="null3"/>
            </w:pPr>
            <w:r>
              <w:rPr>
                <w:rFonts w:ascii="仿宋_GB2312" w:hAnsi="仿宋_GB2312" w:cs="仿宋_GB2312" w:eastAsia="仿宋_GB2312"/>
                <w:sz w:val="20"/>
              </w:rPr>
              <w:t>2.</w:t>
            </w:r>
            <w:r>
              <w:rPr>
                <w:rFonts w:ascii="仿宋_GB2312" w:hAnsi="仿宋_GB2312" w:cs="仿宋_GB2312" w:eastAsia="仿宋_GB2312"/>
                <w:sz w:val="20"/>
              </w:rPr>
              <w:t>服务内容</w:t>
            </w:r>
          </w:p>
          <w:tbl>
            <w:tblPr>
              <w:tblBorders>
                <w:top w:val="none" w:color="000000" w:sz="4"/>
                <w:left w:val="none" w:color="000000" w:sz="4"/>
                <w:bottom w:val="none" w:color="000000" w:sz="4"/>
                <w:right w:val="none" w:color="000000" w:sz="4"/>
                <w:insideH w:val="none"/>
                <w:insideV w:val="none"/>
              </w:tblBorders>
            </w:tblPr>
            <w:tblGrid>
              <w:gridCol w:w="104"/>
              <w:gridCol w:w="287"/>
              <w:gridCol w:w="1068"/>
              <w:gridCol w:w="1094"/>
            </w:tblGrid>
            <w:tr>
              <w:tc>
                <w:tcPr>
                  <w:tcW w:type="dxa" w:w="1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序号</w:t>
                  </w:r>
                </w:p>
              </w:tc>
              <w:tc>
                <w:tcPr>
                  <w:tcW w:type="dxa" w:w="2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媒体</w:t>
                  </w:r>
                </w:p>
                <w:p>
                  <w:pPr>
                    <w:pStyle w:val="null3"/>
                  </w:pPr>
                  <w:r>
                    <w:rPr>
                      <w:rFonts w:ascii="仿宋_GB2312" w:hAnsi="仿宋_GB2312" w:cs="仿宋_GB2312" w:eastAsia="仿宋_GB2312"/>
                      <w:sz w:val="20"/>
                    </w:rPr>
                    <w:t>类型</w:t>
                  </w:r>
                </w:p>
              </w:tc>
              <w:tc>
                <w:tcPr>
                  <w:tcW w:type="dxa" w:w="10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效果说明</w:t>
                  </w:r>
                </w:p>
              </w:tc>
              <w:tc>
                <w:tcPr>
                  <w:tcW w:type="dxa" w:w="10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宣发媒体平台举例</w:t>
                  </w:r>
                </w:p>
              </w:tc>
            </w:tr>
            <w:tr>
              <w:tc>
                <w:tcPr>
                  <w:tcW w:type="dxa" w:w="10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rPr>
                    <w:t>1</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rPr>
                    <w:t>新闻媒体</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内容以专题报道、活动通稿为主，强调权威性与故事性。提升品牌公信力，长尾效应显著（常规通稿在搜索引擎一般留存6-12个月）。落地媒体不少于50家。</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rPr>
                    <w:t>根据企业出海活动目的地（暂定亚洲地区），选择覆盖目标地区的新闻媒体，亚洲地区媒体如日本朝日新闻、时事通讯社、产经新闻、读卖新闻，韩国日报、每日时报、富川时报、经济时报，中亚《哈萨克斯坦实业报》《乌兹别克斯坦日报》等。</w:t>
                  </w:r>
                </w:p>
              </w:tc>
            </w:tr>
            <w:tr>
              <w:tc>
                <w:tcPr>
                  <w:tcW w:type="dxa" w:w="10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rPr>
                    <w:t>2</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rPr>
                    <w:t>社交媒体</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内容以话题、图文轮播广告为主，快速触达年轻受众，通过高互动率实现传播效果最大化，适合文化符号破圈与情感共鸣建立。</w:t>
                  </w:r>
                </w:p>
                <w:p>
                  <w:pPr>
                    <w:pStyle w:val="null3"/>
                  </w:pPr>
                  <w:r>
                    <w:rPr>
                      <w:rFonts w:ascii="仿宋_GB2312" w:hAnsi="仿宋_GB2312" w:cs="仿宋_GB2312" w:eastAsia="仿宋_GB2312"/>
                      <w:sz w:val="20"/>
                    </w:rPr>
                    <w:t>根据推广需求，在海外社交媒体（如Facebook,Instagram,X,Tiktok等）进行流量购买与广告投放，曝光量不少于30万。</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rPr>
                    <w:t>海外社交媒体如TikTok、X、Facebook、Instagram、Kwai等。</w:t>
                  </w:r>
                </w:p>
              </w:tc>
            </w:tr>
            <w:tr>
              <w:tc>
                <w:tcPr>
                  <w:tcW w:type="dxa" w:w="10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rPr>
                    <w:t>3</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rPr>
                    <w:t>搜索广告</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内容以关键词竞价广告、知识图谱优化、Discover信息流算法推荐等为主，精准拦截高意向用户，强化品牌搜索占位，适合产品导向型推广与文化知识科普。</w:t>
                  </w:r>
                </w:p>
                <w:p>
                  <w:pPr>
                    <w:pStyle w:val="null3"/>
                  </w:pPr>
                  <w:r>
                    <w:rPr>
                      <w:rFonts w:ascii="仿宋_GB2312" w:hAnsi="仿宋_GB2312" w:cs="仿宋_GB2312" w:eastAsia="仿宋_GB2312"/>
                      <w:sz w:val="20"/>
                    </w:rPr>
                    <w:t>根据推广需求，在主流搜索引擎平台（如Google Ads / Bing Ads进行流量购买及投放，曝光量不少于20万。</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rPr>
                    <w:t>海外搜索广告平台如Google、MicrosoftBing、NAVER等</w:t>
                  </w:r>
                </w:p>
              </w:tc>
            </w:tr>
          </w:tbl>
          <w:p>
            <w:pPr>
              <w:pStyle w:val="null3"/>
            </w:pPr>
            <w:r>
              <w:rPr>
                <w:rFonts w:ascii="仿宋_GB2312" w:hAnsi="仿宋_GB2312" w:cs="仿宋_GB2312" w:eastAsia="仿宋_GB2312"/>
                <w:sz w:val="20"/>
              </w:rPr>
              <w:t>3.</w:t>
            </w:r>
            <w:r>
              <w:rPr>
                <w:rFonts w:ascii="仿宋_GB2312" w:hAnsi="仿宋_GB2312" w:cs="仿宋_GB2312" w:eastAsia="仿宋_GB2312"/>
                <w:sz w:val="20"/>
              </w:rPr>
              <w:t>服务要求</w:t>
            </w:r>
          </w:p>
          <w:p>
            <w:pPr>
              <w:pStyle w:val="null3"/>
            </w:pPr>
            <w:r>
              <w:rPr>
                <w:rFonts w:ascii="仿宋_GB2312" w:hAnsi="仿宋_GB2312" w:cs="仿宋_GB2312" w:eastAsia="仿宋_GB2312"/>
                <w:sz w:val="20"/>
              </w:rPr>
              <w:t>（1）内容本地化适配——根据官方通稿进行多语种文案适配、文化隐喻适配；</w:t>
            </w:r>
          </w:p>
          <w:p>
            <w:pPr>
              <w:pStyle w:val="null3"/>
            </w:pPr>
            <w:r>
              <w:rPr>
                <w:rFonts w:ascii="仿宋_GB2312" w:hAnsi="仿宋_GB2312" w:cs="仿宋_GB2312" w:eastAsia="仿宋_GB2312"/>
                <w:sz w:val="20"/>
              </w:rPr>
              <w:t>（2）媒体采购与投放——媒体平台广告位购买及投放；</w:t>
            </w:r>
          </w:p>
          <w:p>
            <w:pPr>
              <w:pStyle w:val="null3"/>
            </w:pPr>
            <w:r>
              <w:rPr>
                <w:rFonts w:ascii="仿宋_GB2312" w:hAnsi="仿宋_GB2312" w:cs="仿宋_GB2312" w:eastAsia="仿宋_GB2312"/>
                <w:sz w:val="20"/>
              </w:rPr>
              <w:t>（3）数据监测——投放效果数据实时监控与评估，互动率监测，实时调整投放策略。</w:t>
            </w:r>
          </w:p>
          <w:p>
            <w:pPr>
              <w:pStyle w:val="null3"/>
            </w:pPr>
            <w:r>
              <w:rPr>
                <w:rFonts w:ascii="仿宋_GB2312" w:hAnsi="仿宋_GB2312" w:cs="仿宋_GB2312" w:eastAsia="仿宋_GB2312"/>
                <w:sz w:val="20"/>
                <w:b/>
              </w:rPr>
              <w:t>（三）文化出海数字营销人才培训服务</w:t>
            </w:r>
          </w:p>
          <w:p>
            <w:pPr>
              <w:pStyle w:val="null3"/>
            </w:pPr>
            <w:r>
              <w:rPr>
                <w:rFonts w:ascii="仿宋_GB2312" w:hAnsi="仿宋_GB2312" w:cs="仿宋_GB2312" w:eastAsia="仿宋_GB2312"/>
                <w:sz w:val="20"/>
              </w:rPr>
              <w:t>为已确定和有意向参与出海的服贸企业/文化企业相关人员设计培训课程体系，紧扣文化产业的特殊性和出海面临的独特挑战，提供针对文化企业出海、社交媒体运营等方向的培训。</w:t>
            </w:r>
          </w:p>
          <w:p>
            <w:pPr>
              <w:pStyle w:val="null3"/>
            </w:pPr>
            <w:r>
              <w:rPr>
                <w:rFonts w:ascii="仿宋_GB2312" w:hAnsi="仿宋_GB2312" w:cs="仿宋_GB2312" w:eastAsia="仿宋_GB2312"/>
                <w:sz w:val="20"/>
              </w:rPr>
              <w:t>1.</w:t>
            </w:r>
            <w:r>
              <w:rPr>
                <w:rFonts w:ascii="仿宋_GB2312" w:hAnsi="仿宋_GB2312" w:cs="仿宋_GB2312" w:eastAsia="仿宋_GB2312"/>
                <w:sz w:val="20"/>
              </w:rPr>
              <w:t>面向对象</w:t>
            </w:r>
          </w:p>
          <w:p>
            <w:pPr>
              <w:pStyle w:val="null3"/>
            </w:pPr>
            <w:r>
              <w:rPr>
                <w:rFonts w:ascii="仿宋_GB2312" w:hAnsi="仿宋_GB2312" w:cs="仿宋_GB2312" w:eastAsia="仿宋_GB2312"/>
                <w:sz w:val="20"/>
              </w:rPr>
              <w:t>有出海意向的文化企业相关人员；政府相关部门工作人员。</w:t>
            </w:r>
          </w:p>
          <w:p>
            <w:pPr>
              <w:pStyle w:val="null3"/>
            </w:pPr>
            <w:r>
              <w:rPr>
                <w:rFonts w:ascii="仿宋_GB2312" w:hAnsi="仿宋_GB2312" w:cs="仿宋_GB2312" w:eastAsia="仿宋_GB2312"/>
                <w:sz w:val="20"/>
              </w:rPr>
              <w:t>2.</w:t>
            </w:r>
            <w:r>
              <w:rPr>
                <w:rFonts w:ascii="仿宋_GB2312" w:hAnsi="仿宋_GB2312" w:cs="仿宋_GB2312" w:eastAsia="仿宋_GB2312"/>
                <w:sz w:val="20"/>
              </w:rPr>
              <w:t>服务内容</w:t>
            </w:r>
          </w:p>
          <w:p>
            <w:pPr>
              <w:pStyle w:val="null3"/>
            </w:pPr>
            <w:r>
              <w:rPr>
                <w:rFonts w:ascii="仿宋_GB2312" w:hAnsi="仿宋_GB2312" w:cs="仿宋_GB2312" w:eastAsia="仿宋_GB2312"/>
                <w:sz w:val="20"/>
              </w:rPr>
              <w:t>（1）课程体系设计：根据项目培训需求设计课程体系、匹配导师，并准备相应教学材料。</w:t>
            </w:r>
          </w:p>
          <w:p>
            <w:pPr>
              <w:pStyle w:val="null3"/>
            </w:pPr>
            <w:r>
              <w:rPr>
                <w:rFonts w:ascii="仿宋_GB2312" w:hAnsi="仿宋_GB2312" w:cs="仿宋_GB2312" w:eastAsia="仿宋_GB2312"/>
                <w:sz w:val="20"/>
              </w:rPr>
              <w:t>（2）根据课程体系制定课程安排，并进行培训课程的执行工作。</w:t>
            </w:r>
          </w:p>
          <w:p>
            <w:pPr>
              <w:pStyle w:val="null3"/>
            </w:pPr>
            <w:r>
              <w:rPr>
                <w:rFonts w:ascii="仿宋_GB2312" w:hAnsi="仿宋_GB2312" w:cs="仿宋_GB2312" w:eastAsia="仿宋_GB2312"/>
                <w:sz w:val="20"/>
              </w:rPr>
              <w:t>预计进行相关课程16节（每节课预估用时2小时，共计32课时）。</w:t>
            </w:r>
          </w:p>
          <w:p>
            <w:pPr>
              <w:pStyle w:val="null3"/>
            </w:pPr>
            <w:r>
              <w:rPr>
                <w:rFonts w:ascii="仿宋_GB2312" w:hAnsi="仿宋_GB2312" w:cs="仿宋_GB2312" w:eastAsia="仿宋_GB2312"/>
                <w:sz w:val="21"/>
              </w:rPr>
              <w:t>（3）培训地点：由供应商自行选取西安市区内的合适场地，费用由供应商自行承担。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供应商为本项目配备专业的团队人员，包括但不限于策划组织人员、媒体宣传人员、培训人员等。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合同签订后一年内完成全部服务内容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磋商报价未超出采购预算或单价最高限价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出海交流活动方案</w:t>
            </w:r>
          </w:p>
        </w:tc>
        <w:tc>
          <w:tcPr>
            <w:tcW w:type="dxa" w:w="2492"/>
          </w:tcPr>
          <w:p>
            <w:pPr>
              <w:pStyle w:val="null3"/>
            </w:pPr>
            <w:r>
              <w:rPr>
                <w:rFonts w:ascii="仿宋_GB2312" w:hAnsi="仿宋_GB2312" w:cs="仿宋_GB2312" w:eastAsia="仿宋_GB2312"/>
              </w:rPr>
              <w:t>一、评审内容 1.整体统筹方案； 2.运营执行与保障服务方案； 3.展位预定及搭建方案； 4.行程中的安全保障方案。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以上每项每完全满足一个评审标准得2分，单项满分6分。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海外媒体投放服务方案</w:t>
            </w:r>
          </w:p>
        </w:tc>
        <w:tc>
          <w:tcPr>
            <w:tcW w:type="dxa" w:w="2492"/>
          </w:tcPr>
          <w:p>
            <w:pPr>
              <w:pStyle w:val="null3"/>
            </w:pPr>
            <w:r>
              <w:rPr>
                <w:rFonts w:ascii="仿宋_GB2312" w:hAnsi="仿宋_GB2312" w:cs="仿宋_GB2312" w:eastAsia="仿宋_GB2312"/>
              </w:rPr>
              <w:t>一、评审内容 1.新闻媒体投放服务方案； 2.社交媒体投放服务方案； 3.搜索广告引擎投放服务方案； 4.投放质量保障方案。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以上每项每完全满足一个评审标准得2分，单项满分6分。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人才培训服务方案</w:t>
            </w:r>
          </w:p>
        </w:tc>
        <w:tc>
          <w:tcPr>
            <w:tcW w:type="dxa" w:w="2492"/>
          </w:tcPr>
          <w:p>
            <w:pPr>
              <w:pStyle w:val="null3"/>
            </w:pPr>
            <w:r>
              <w:rPr>
                <w:rFonts w:ascii="仿宋_GB2312" w:hAnsi="仿宋_GB2312" w:cs="仿宋_GB2312" w:eastAsia="仿宋_GB2312"/>
              </w:rPr>
              <w:t>一、评审内容 1.培训目标及方向说明； 2.培训课程设计说明； 3.整体培训方案。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1.服务质量保障方案； 2.服务人员保障方案； 3.后勤协调及时间进度保障方案。 4.针对本项目可能发生的各类突发情况的应急预案。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以上每项每完全满足一个评审标准得1分，单项满分3分。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1.交流活动策划组织团队； 2.媒体宣传投放团队； 3.培训团队。 二、评审标准 1.分工安排合理、职责划分明确； 2.提供具体的人员花名册、身份证明及简历。 三、赋分标准 以上每项每完全满足一个评审标准得2分，单项满分4分。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供应商提供2022年01月（以合同签订时间为准）至今类似项目业绩（业绩以合同为依据），每提供一个业绩证明计3分，满分9分。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 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