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版本号：0617-25E8FZ342020251212001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太平堡村回迁安置服务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0617-25E8FZ3420</w:t>
      </w:r>
      <w:r>
        <w:br/>
      </w:r>
      <w:r>
        <w:br/>
      </w:r>
      <w:r>
        <w:br/>
      </w:r>
    </w:p>
    <w:p>
      <w:pPr>
        <w:pStyle w:val="null3"/>
        <w:jc w:val="center"/>
        <w:outlineLvl w:val="2"/>
      </w:pPr>
      <w:r>
        <w:rPr>
          <w:rFonts w:ascii="仿宋_GB2312" w:hAnsi="仿宋_GB2312" w:cs="仿宋_GB2312" w:eastAsia="仿宋_GB2312"/>
          <w:sz w:val="28"/>
          <w:b/>
        </w:rPr>
        <w:t>西安曲江新区土地储备中心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太平堡村回迁安置服务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0617-25E8FZ3420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太平堡村回迁安置服务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组织开展太平堡村350户村民回迁安置工作，主要包括协议签订、资料整理、回迁宣传、现场布置、安全保卫、后勤服务以及回迁搬家等方面工作。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采购包1（太平堡村安置回迁服务）：属于专门面向小微企业采购。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029-88662538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代理服务费收费标准：招标代理服务费依据国家发改委《关于降低部分建设项目 收费标准规范收费行为等有关问题的通知》（发改价格〔2011〕534号）、国家计委《关于印发招标代理服务收费管理暂行办法的通知》（计价格〔2002〕1980号）等文件的规定*95%执行。由中标(成交)单位在领取成交通知书前，一次性向代理机构付清。 代理服务费账户信息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组织开展太平堡村350户村民回迁安置工作，主要包括协议签订、资料整理、回迁宣传、现场布置、安全保卫、后勤服务以及回迁搬家等方面工作。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1,607,200.00</w:t>
      </w:r>
    </w:p>
    <w:p>
      <w:pPr>
        <w:pStyle w:val="null3"/>
      </w:pPr>
      <w:r>
        <w:rPr>
          <w:rFonts w:ascii="仿宋_GB2312" w:hAnsi="仿宋_GB2312" w:cs="仿宋_GB2312" w:eastAsia="仿宋_GB2312"/>
        </w:rPr>
        <w:t>采购包最高限价（元）: 1,607,200.00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太平堡村回迁安置服务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标的名称：太平堡村回迁安置服务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组织开展太平堡村350户村民回迁安置工作，主要包括协议签订、资料整理、回迁宣传、现场布置、安全保卫、后勤服务以及回迁搬家等方面工作。</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1、前期被拆迁人资料核对及汇总工作。</w:t>
            </w:r>
            <w:r>
              <w:br/>
            </w:r>
            <w:r>
              <w:rPr>
                <w:rFonts w:ascii="仿宋_GB2312" w:hAnsi="仿宋_GB2312" w:cs="仿宋_GB2312" w:eastAsia="仿宋_GB2312"/>
              </w:rPr>
              <w:t xml:space="preserve"> 2、回迁工作相关资料、数据的核对、录入、汇总及报备。</w:t>
            </w:r>
          </w:p>
          <w:p>
            <w:pPr>
              <w:pStyle w:val="null3"/>
            </w:pPr>
            <w:r>
              <w:rPr>
                <w:rFonts w:ascii="仿宋_GB2312" w:hAnsi="仿宋_GB2312" w:cs="仿宋_GB2312" w:eastAsia="仿宋_GB2312"/>
              </w:rPr>
              <w:t>3、协助甲方制定回迁选房方案。</w:t>
            </w:r>
          </w:p>
          <w:p>
            <w:pPr>
              <w:pStyle w:val="null3"/>
            </w:pPr>
            <w:r>
              <w:rPr>
                <w:rFonts w:ascii="仿宋_GB2312" w:hAnsi="仿宋_GB2312" w:cs="仿宋_GB2312" w:eastAsia="仿宋_GB2312"/>
              </w:rPr>
              <w:t>4、市内一次外出会议服务。</w:t>
            </w:r>
          </w:p>
          <w:p>
            <w:pPr>
              <w:pStyle w:val="null3"/>
            </w:pPr>
            <w:r>
              <w:rPr>
                <w:rFonts w:ascii="仿宋_GB2312" w:hAnsi="仿宋_GB2312" w:cs="仿宋_GB2312" w:eastAsia="仿宋_GB2312"/>
              </w:rPr>
              <w:t>5、做好媒体公告发布工作。</w:t>
            </w:r>
          </w:p>
          <w:p>
            <w:pPr>
              <w:pStyle w:val="null3"/>
            </w:pPr>
            <w:r>
              <w:rPr>
                <w:rFonts w:ascii="仿宋_GB2312" w:hAnsi="仿宋_GB2312" w:cs="仿宋_GB2312" w:eastAsia="仿宋_GB2312"/>
              </w:rPr>
              <w:t>6、定点宣传：协助建设单位组织的选房群众看房工作，或在周边引导、讲解、释疑。</w:t>
            </w:r>
          </w:p>
          <w:p>
            <w:pPr>
              <w:pStyle w:val="null3"/>
            </w:pPr>
            <w:r>
              <w:rPr>
                <w:rFonts w:ascii="仿宋_GB2312" w:hAnsi="仿宋_GB2312" w:cs="仿宋_GB2312" w:eastAsia="仿宋_GB2312"/>
              </w:rPr>
              <w:t>7、租赁选房场地：根据项目情况选择租赁选房场地。</w:t>
            </w:r>
          </w:p>
          <w:p>
            <w:pPr>
              <w:pStyle w:val="null3"/>
            </w:pPr>
            <w:r>
              <w:rPr>
                <w:rFonts w:ascii="仿宋_GB2312" w:hAnsi="仿宋_GB2312" w:cs="仿宋_GB2312" w:eastAsia="仿宋_GB2312"/>
              </w:rPr>
              <w:t>8、做好消防、安保、急救部门协调及秩序维持工作。</w:t>
            </w:r>
          </w:p>
          <w:p>
            <w:pPr>
              <w:pStyle w:val="null3"/>
            </w:pPr>
            <w:r>
              <w:rPr>
                <w:rFonts w:ascii="仿宋_GB2312" w:hAnsi="仿宋_GB2312" w:cs="仿宋_GB2312" w:eastAsia="仿宋_GB2312"/>
              </w:rPr>
              <w:t>9、选房现场内外的规划、广告及宣传布置（含物料）。</w:t>
            </w:r>
          </w:p>
          <w:p>
            <w:pPr>
              <w:pStyle w:val="null3"/>
            </w:pPr>
            <w:r>
              <w:rPr>
                <w:rFonts w:ascii="仿宋_GB2312" w:hAnsi="仿宋_GB2312" w:cs="仿宋_GB2312" w:eastAsia="仿宋_GB2312"/>
              </w:rPr>
              <w:t>10、每日工作人员的工作餐。</w:t>
            </w:r>
          </w:p>
          <w:p>
            <w:pPr>
              <w:pStyle w:val="null3"/>
            </w:pPr>
            <w:r>
              <w:rPr>
                <w:rFonts w:ascii="仿宋_GB2312" w:hAnsi="仿宋_GB2312" w:cs="仿宋_GB2312" w:eastAsia="仿宋_GB2312"/>
              </w:rPr>
              <w:t>11、选房现场饮用水、办公家具、办公用品的准备。</w:t>
            </w:r>
          </w:p>
          <w:p>
            <w:pPr>
              <w:pStyle w:val="null3"/>
            </w:pPr>
            <w:r>
              <w:rPr>
                <w:rFonts w:ascii="仿宋_GB2312" w:hAnsi="仿宋_GB2312" w:cs="仿宋_GB2312" w:eastAsia="仿宋_GB2312"/>
              </w:rPr>
              <w:t>12、现场影像资料的留存及制作。</w:t>
            </w:r>
          </w:p>
          <w:p>
            <w:pPr>
              <w:pStyle w:val="null3"/>
            </w:pPr>
            <w:r>
              <w:rPr>
                <w:rFonts w:ascii="仿宋_GB2312" w:hAnsi="仿宋_GB2312" w:cs="仿宋_GB2312" w:eastAsia="仿宋_GB2312"/>
              </w:rPr>
              <w:t>13、每户选房人2张搬家车票。</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1.成立项目组，定时向采购单位汇报工作情况及进展。</w:t>
            </w:r>
          </w:p>
          <w:p>
            <w:pPr>
              <w:pStyle w:val="null3"/>
            </w:pPr>
            <w:r>
              <w:rPr>
                <w:rFonts w:ascii="仿宋_GB2312" w:hAnsi="仿宋_GB2312" w:cs="仿宋_GB2312" w:eastAsia="仿宋_GB2312"/>
              </w:rPr>
              <w:t>2.严格按照采购方要求，实施回迁分房服务工作。</w:t>
            </w:r>
          </w:p>
          <w:p>
            <w:pPr>
              <w:pStyle w:val="null3"/>
            </w:pPr>
            <w:r>
              <w:rPr>
                <w:rFonts w:ascii="仿宋_GB2312" w:hAnsi="仿宋_GB2312" w:cs="仿宋_GB2312" w:eastAsia="仿宋_GB2312"/>
              </w:rPr>
              <w:t>3.选房工作应遵循国家相关政策、法律法规，不得发生违章、违规事件，不能因为不当引起居(村)民的纠纷投诉。</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1.服务期限:自合同签订之日起20个日历日内完成（实际开始时间以采购人通知为准）。</w:t>
            </w:r>
          </w:p>
          <w:p>
            <w:pPr>
              <w:pStyle w:val="null3"/>
            </w:pPr>
            <w:r>
              <w:rPr>
                <w:rFonts w:ascii="仿宋_GB2312" w:hAnsi="仿宋_GB2312" w:cs="仿宋_GB2312" w:eastAsia="仿宋_GB2312"/>
              </w:rPr>
              <w:t>2.款项结算:合同签订后，进入前期被拆迁人资料核对及汇总工作阶段，甲方支付暂定合同总价的50%；乙方按照回迁选房公告中最终截止日期完成回迁选房工作，并将资料、视频移交甲方确认后，甲方根据实际结算金额支付全部剩余款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 起20个日历日内完成（实际开始时间以采购人通知为准）。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以采购人通知为准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1.成交供应商按照项目需求完成全部服务内容后，由采购人组织验收。2.验收依据:(1)合同文本;(2)国家有关的验收标准及规范;(3)竞争性磋商文件;(4)磋商响应文件。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合同签订后，进入前期被拆迁人资料核对及汇总工作阶段，甲方支付暂定合同总价的50%；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乙方按照回迁选房公告中最终截止日期完成回迁选房工作，并将资料、视频移交甲方确认后，甲方根据实际结算金额支付全部剩余款项。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及相关条款和本合同约定，成交供应商未全面履行合同义务或者发生违约，采购单位会同采购代理机构有权终止合同，依法向成交供应商进行经济索赔，并报请监督管理机关进行相应的行政处罚。采购单位违约的，应当赔偿给成交供应商造成的经济损失。合同签订和履行过程中，甲乙双方如对合同中相关的事宜发生争议，应本着公驱公正的原则，友好协商解决，协商不成的，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1、本项目的单价限价为4592元/户，本项目采用单价合同，按照中标供应商的中标单价及实际户数进行据实结算； 2、本项目报价为总价报价，总价报价=单价报价*暂定户数(350户)，总价报价仅作为评标依据； 3、成交供应商在领取成交通知书后3个工作日内向采购代理机构提供纸质版投标(或响应)文件正本、副本1份。装订:纸质版文件采用书籍(胶装)方式装订成册，与电子投标(或响应)一致的签字、盖章的完整版本。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2024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提供缴费所属日期为磋商截止时间前6个月内任一月份（磋商截止时间当月不计入）的增值税（或所得税）缴费凭据或税务机关出具的完税证明/在法规范围内不需提供的应出具书面说明和证明文件。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提供缴费所属日期为磋商截止时间前6个月内任一月份（磋商截止时间当月不计入）的缴费凭据或社保机关出具的缴费证明/在法规范围内不需提供的应出具书面说明和证明文件。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或单位负责人)授权书。提供法定代表人授权委托书和被授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合格、有效，磋商报价是否未超过采购预算或最高限价，磋商报价有效期是否符合磋商文件的要求，是否完全满足磋商文件所要求的合同及商务条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评审内容：提供针对本项目总体实施方案，充分理解项目的服务内容及要求，方案思路清晰，紧扣主题，工作安排合理，涵盖内容全面，表现形式符合项目要求。 评审标准：实施方案内容全面、阐述条理清晰详尽、合理、可行性强，即方案内容不存在瑕疵得15分，每有一处瑕疵扣0.1～2分。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服务质量承诺</w:t>
            </w:r>
          </w:p>
        </w:tc>
        <w:tc>
          <w:tcPr>
            <w:tcW w:type="dxa" w:w="2492"/>
          </w:tcPr>
          <w:p>
            <w:pPr>
              <w:pStyle w:val="null3"/>
            </w:pPr>
            <w:r>
              <w:rPr>
                <w:rFonts w:ascii="仿宋_GB2312" w:hAnsi="仿宋_GB2312" w:cs="仿宋_GB2312" w:eastAsia="仿宋_GB2312"/>
              </w:rPr>
              <w:t>评审内容：根据项目具体情况对服务质量进行承诺。 评审标准：进度安排及保障措施合理、完善、科学，即不存在瑕疵，得15分，每有一处瑕疵扣0.1～2分。 注：本项内容中所称的“瑕疵”指以下任意一种情形： ①承诺内容不满足项目要求； ②承诺表述不完整或缺少关键分析点； ③承诺科学合理性或针对性或实用性不强； ④承诺表述前后矛盾、无连贯性、内容存在逻辑漏洞、常识性错误； ⑤承诺内容并不适用本项目特性或非专门针对本项目制定。未提供得0分。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评审内容：针对本项目提供突发情况的服务应急方案。 评审标准：应急预案措施科学合理、全面，实施性强，有针对性，即不存在瑕疵得15分，每有一处瑕疵扣0.1～2分。 注：本项内容中所称的“瑕疵”指以下任意一种情形： ①方案部分内容不满足项目要求； ②方案表述不完整或缺少关键分析点； ③方案科学合理性或针对性或实用性不强； ④方案表述前后矛盾、无连贯性、内容存在逻辑漏洞、常识性错误； 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项目所需场地及活动物料的保障措施</w:t>
            </w:r>
          </w:p>
        </w:tc>
        <w:tc>
          <w:tcPr>
            <w:tcW w:type="dxa" w:w="2492"/>
          </w:tcPr>
          <w:p>
            <w:pPr>
              <w:pStyle w:val="null3"/>
            </w:pPr>
            <w:r>
              <w:rPr>
                <w:rFonts w:ascii="仿宋_GB2312" w:hAnsi="仿宋_GB2312" w:cs="仿宋_GB2312" w:eastAsia="仿宋_GB2312"/>
              </w:rPr>
              <w:t>评审内容：项目所需场地及活动物料的保障措施。 评审标准：保障措施完善、全面、详细，具体实施细节及措施合理性和可行性强，即不存在瑕疵得15分，每有一处瑕疵扣0.1～2分。 注：本项内容中所称的“瑕疵”指以下任意一种情形： ①保障措施内容不满足项目要求； ②保障措施表述不完整或缺少关键分析点； ③保障措施科学合理性或针对性或实用性不强； ④保障措施表述前后矛盾、无连贯性、内容存在逻辑漏洞、常识性错误； ⑤保障措施内容并不适用本项目特性或非专门针对本项目制定。未提供得0分。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评审内容：针对本项目拟投入的人员、设备配置情况。 评审标准：拟投入本项目组人员、设备配置完全满足服务要求，配置结构健全、分工明确且合理的得15分；每有一处瑕疵扣0.1～2分。 注：本项内容中所称的“瑕疵”指以下任意一种情形： ①配置情况不满足项目要求； ②配置情况表述不完整或缺少关键分析点； ③配置情况科学合理性或针对性或实用性不强； ④内容表述前后矛盾、无连贯性、内容存在逻辑漏洞、常识性错误； ⑤配置情况并不适用本项目特性或非专门针对本项目制定。未提供得0分。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评审内容：针对本项目实际情况的合理化建议。 评审标准：合理化建议详细、全面，可行性强，内容无瑕疵得10分；每有一处瑕疵扣0.1～2分。 注：本项内容中所称的“瑕疵”指以下任意一种情形： ①合理化建议内容不满足项目要求；②合理化建议内容表述不完整或缺少关键分析点；③合理化建议内容科学合理性或针对性或实用性不强；④合理化建议内容表述前后矛盾、无连贯性、内容存在逻辑漏洞、常识性错误； ⑤合理化建议内容并不适用本项目特性或非专门针对本项目制定。未提供得0分。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提供2022年11月1日起至今类似项目业绩，每有1项业绩得2.5分，最多得5分。 注：须提供相关证明材料复印件并加盖公章，业绩以合同或中标（成交）通知书为依据，不提供者不计分。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满足磋商文件要求且磋商价格最低的最终磋商报价为评标基准价，其价格分为满分。价格分按照下列公式计算。 磋商报价得分=（磋商基准价/最终磋商报价）×10 。本项目专门面向中小企业采购，不再进行价格扣。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