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版本号：ZCZX2024-CS-24420251219001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员工通勤班车租赁服务项目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ZCZX2024-CS-244</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员工通勤班车租赁服务项目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ZCZX2024-CS-244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员工通勤班车租赁服务项目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按照设定的两条通勤车线路，提供每条线路至少 48人运力的通勤车服务，保障管委会在职人员上下班正常通勤。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pPr>
      <w:r>
        <w:rPr>
          <w:rFonts w:ascii="仿宋_GB2312" w:hAnsi="仿宋_GB2312" w:cs="仿宋_GB2312" w:eastAsia="仿宋_GB2312"/>
        </w:rPr>
        <w:t>2、资质：供应商具有道路运政管理机构核发有效的《道路运输经营许可证》，经营范围须包含客运。</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029-68660033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采购包1：335,400.00元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联系人：王鹏飞、吴芳超、孟凌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 西安曲江新区翠华南路1688号创意盒子13层1304室</w:t>
      </w:r>
    </w:p>
    <w:p>
      <w:pPr>
        <w:pStyle w:val="null3"/>
      </w:pPr>
      <w:r>
        <w:rPr>
          <w:rFonts w:ascii="仿宋_GB2312" w:hAnsi="仿宋_GB2312" w:cs="仿宋_GB2312" w:eastAsia="仿宋_GB2312"/>
        </w:rPr>
        <w:t>邮编： 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按照设定的两条通勤车线路，提供每条线路至少 48人运力的通勤车服务，保障管委会在职人员上下班正常通勤。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335,400.00</w:t>
      </w:r>
    </w:p>
    <w:p>
      <w:pPr>
        <w:pStyle w:val="null3"/>
      </w:pPr>
      <w:r>
        <w:rPr>
          <w:rFonts w:ascii="仿宋_GB2312" w:hAnsi="仿宋_GB2312" w:cs="仿宋_GB2312" w:eastAsia="仿宋_GB2312"/>
        </w:rPr>
        <w:t>采购包最高限价（元）: 335,400.00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员工通勤班车租赁服务项目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335,400.00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标的名称：员工通勤班车租赁服务项目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一、服务内容</w:t>
            </w:r>
          </w:p>
          <w:p>
            <w:pPr>
              <w:pStyle w:val="null3"/>
            </w:pPr>
            <w:r>
              <w:rPr>
                <w:rFonts w:ascii="仿宋_GB2312" w:hAnsi="仿宋_GB2312" w:cs="仿宋_GB2312" w:eastAsia="仿宋_GB2312"/>
                <w:sz w:val="20"/>
              </w:rPr>
              <w:t>1</w:t>
            </w:r>
            <w:r>
              <w:rPr>
                <w:rFonts w:ascii="仿宋_GB2312" w:hAnsi="仿宋_GB2312" w:cs="仿宋_GB2312" w:eastAsia="仿宋_GB2312"/>
                <w:sz w:val="20"/>
              </w:rPr>
              <w:t>、通勤服务</w:t>
            </w:r>
          </w:p>
          <w:p>
            <w:pPr>
              <w:pStyle w:val="null3"/>
            </w:pPr>
            <w:r>
              <w:rPr>
                <w:rFonts w:ascii="仿宋_GB2312" w:hAnsi="仿宋_GB2312" w:cs="仿宋_GB2312" w:eastAsia="仿宋_GB2312"/>
                <w:sz w:val="20"/>
              </w:rPr>
              <w:t>按照“会展中心—管委会”、“大雁塔北广场—管委会”两条设定的运行路线，每条路线、每工作日（全年按</w:t>
            </w:r>
            <w:r>
              <w:rPr>
                <w:rFonts w:ascii="仿宋_GB2312" w:hAnsi="仿宋_GB2312" w:cs="仿宋_GB2312" w:eastAsia="仿宋_GB2312"/>
                <w:sz w:val="20"/>
              </w:rPr>
              <w:t>252</w:t>
            </w:r>
            <w:r>
              <w:rPr>
                <w:rFonts w:ascii="仿宋_GB2312" w:hAnsi="仿宋_GB2312" w:cs="仿宋_GB2312" w:eastAsia="仿宋_GB2312"/>
                <w:sz w:val="20"/>
              </w:rPr>
              <w:t>个工作日计算</w:t>
            </w:r>
            <w:r>
              <w:rPr>
                <w:rFonts w:ascii="仿宋_GB2312" w:hAnsi="仿宋_GB2312" w:cs="仿宋_GB2312" w:eastAsia="仿宋_GB2312"/>
                <w:sz w:val="20"/>
              </w:rPr>
              <w:t>）提供一趟早班车和两趟晚班车服务，每趟须提供</w:t>
            </w:r>
            <w:r>
              <w:rPr>
                <w:rFonts w:ascii="仿宋_GB2312" w:hAnsi="仿宋_GB2312" w:cs="仿宋_GB2312" w:eastAsia="仿宋_GB2312"/>
                <w:sz w:val="20"/>
              </w:rPr>
              <w:t>至少</w:t>
            </w:r>
            <w:r>
              <w:rPr>
                <w:rFonts w:ascii="仿宋_GB2312" w:hAnsi="仿宋_GB2312" w:cs="仿宋_GB2312" w:eastAsia="仿宋_GB2312"/>
                <w:sz w:val="20"/>
              </w:rPr>
              <w:t>48</w:t>
            </w:r>
            <w:r>
              <w:rPr>
                <w:rFonts w:ascii="仿宋_GB2312" w:hAnsi="仿宋_GB2312" w:cs="仿宋_GB2312" w:eastAsia="仿宋_GB2312"/>
                <w:sz w:val="20"/>
              </w:rPr>
              <w:t>人运力的通勤车参与服务；星期六、星期日及法定假日（指休息日）不上班，如遇调休，通勤车照常运行，最终费用以实际出车天数按月据实结算。</w:t>
            </w:r>
          </w:p>
          <w:p>
            <w:pPr>
              <w:pStyle w:val="null3"/>
            </w:pPr>
            <w:r>
              <w:rPr>
                <w:rFonts w:ascii="仿宋_GB2312" w:hAnsi="仿宋_GB2312" w:cs="仿宋_GB2312" w:eastAsia="仿宋_GB2312"/>
                <w:sz w:val="20"/>
              </w:rPr>
              <w:t>2</w:t>
            </w:r>
            <w:r>
              <w:rPr>
                <w:rFonts w:ascii="仿宋_GB2312" w:hAnsi="仿宋_GB2312" w:cs="仿宋_GB2312" w:eastAsia="仿宋_GB2312"/>
                <w:sz w:val="20"/>
              </w:rPr>
              <w:t>、临时租用服务</w:t>
            </w:r>
          </w:p>
          <w:p>
            <w:pPr>
              <w:pStyle w:val="null3"/>
            </w:pPr>
            <w:r>
              <w:rPr>
                <w:rFonts w:ascii="仿宋_GB2312" w:hAnsi="仿宋_GB2312" w:cs="仿宋_GB2312" w:eastAsia="仿宋_GB2312"/>
                <w:sz w:val="20"/>
              </w:rPr>
              <w:t>如因管委会工作需要用车，承运方应保证大客车车辆服务，预估为</w:t>
            </w:r>
            <w:r>
              <w:rPr>
                <w:rFonts w:ascii="仿宋_GB2312" w:hAnsi="仿宋_GB2312" w:cs="仿宋_GB2312" w:eastAsia="仿宋_GB2312"/>
                <w:sz w:val="20"/>
              </w:rPr>
              <w:t>全年</w:t>
            </w:r>
            <w:r>
              <w:rPr>
                <w:rFonts w:ascii="仿宋_GB2312" w:hAnsi="仿宋_GB2312" w:cs="仿宋_GB2312" w:eastAsia="仿宋_GB2312"/>
                <w:sz w:val="20"/>
              </w:rPr>
              <w:t>7</w:t>
            </w:r>
            <w:r>
              <w:rPr>
                <w:rFonts w:ascii="仿宋_GB2312" w:hAnsi="仿宋_GB2312" w:cs="仿宋_GB2312" w:eastAsia="仿宋_GB2312"/>
                <w:sz w:val="20"/>
              </w:rPr>
              <w:t>次</w:t>
            </w:r>
            <w:r>
              <w:rPr>
                <w:rFonts w:ascii="仿宋_GB2312" w:hAnsi="仿宋_GB2312" w:cs="仿宋_GB2312" w:eastAsia="仿宋_GB2312"/>
                <w:sz w:val="20"/>
              </w:rPr>
              <w:t>，每</w:t>
            </w:r>
            <w:r>
              <w:rPr>
                <w:rFonts w:ascii="仿宋_GB2312" w:hAnsi="仿宋_GB2312" w:cs="仿宋_GB2312" w:eastAsia="仿宋_GB2312"/>
                <w:sz w:val="20"/>
              </w:rPr>
              <w:t>次</w:t>
            </w:r>
            <w:r>
              <w:rPr>
                <w:rFonts w:ascii="仿宋_GB2312" w:hAnsi="仿宋_GB2312" w:cs="仿宋_GB2312" w:eastAsia="仿宋_GB2312"/>
                <w:sz w:val="20"/>
              </w:rPr>
              <w:t>出行公里数在</w:t>
            </w:r>
            <w:r>
              <w:rPr>
                <w:rFonts w:ascii="仿宋_GB2312" w:hAnsi="仿宋_GB2312" w:cs="仿宋_GB2312" w:eastAsia="仿宋_GB2312"/>
                <w:sz w:val="20"/>
              </w:rPr>
              <w:t>100</w:t>
            </w:r>
            <w:r>
              <w:rPr>
                <w:rFonts w:ascii="仿宋_GB2312" w:hAnsi="仿宋_GB2312" w:cs="仿宋_GB2312" w:eastAsia="仿宋_GB2312"/>
                <w:sz w:val="20"/>
              </w:rPr>
              <w:t>公里以内，用时不超</w:t>
            </w:r>
            <w:r>
              <w:rPr>
                <w:rFonts w:ascii="仿宋_GB2312" w:hAnsi="仿宋_GB2312" w:cs="仿宋_GB2312" w:eastAsia="仿宋_GB2312"/>
                <w:sz w:val="20"/>
              </w:rPr>
              <w:t>10</w:t>
            </w:r>
            <w:r>
              <w:rPr>
                <w:rFonts w:ascii="仿宋_GB2312" w:hAnsi="仿宋_GB2312" w:cs="仿宋_GB2312" w:eastAsia="仿宋_GB2312"/>
                <w:sz w:val="20"/>
              </w:rPr>
              <w:t>小时。</w:t>
            </w:r>
          </w:p>
          <w:p>
            <w:pPr>
              <w:pStyle w:val="null3"/>
            </w:pPr>
            <w:r>
              <w:rPr>
                <w:rFonts w:ascii="仿宋_GB2312" w:hAnsi="仿宋_GB2312" w:cs="仿宋_GB2312" w:eastAsia="仿宋_GB2312"/>
                <w:sz w:val="20"/>
              </w:rPr>
              <w:t>二</w:t>
            </w:r>
            <w:r>
              <w:rPr>
                <w:rFonts w:ascii="仿宋_GB2312" w:hAnsi="仿宋_GB2312" w:cs="仿宋_GB2312" w:eastAsia="仿宋_GB2312"/>
                <w:sz w:val="20"/>
              </w:rPr>
              <w:t>、服务要求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、所提供车辆应符合国家机动车运行安全技术标准；</w:t>
            </w:r>
          </w:p>
          <w:p>
            <w:pPr>
              <w:pStyle w:val="null3"/>
            </w:pPr>
            <w:r>
              <w:rPr>
                <w:rFonts w:ascii="仿宋_GB2312" w:hAnsi="仿宋_GB2312" w:cs="仿宋_GB2312" w:eastAsia="仿宋_GB2312"/>
                <w:sz w:val="20"/>
              </w:rPr>
              <w:t>2</w:t>
            </w:r>
            <w:r>
              <w:rPr>
                <w:rFonts w:ascii="仿宋_GB2312" w:hAnsi="仿宋_GB2312" w:cs="仿宋_GB2312" w:eastAsia="仿宋_GB2312"/>
                <w:sz w:val="20"/>
              </w:rPr>
              <w:t>、所提供车辆品牌知名度高、性能安全稳定；</w:t>
            </w:r>
          </w:p>
          <w:p>
            <w:pPr>
              <w:pStyle w:val="null3"/>
            </w:pPr>
            <w:r>
              <w:rPr>
                <w:rFonts w:ascii="仿宋_GB2312" w:hAnsi="仿宋_GB2312" w:cs="仿宋_GB2312" w:eastAsia="仿宋_GB2312"/>
                <w:sz w:val="20"/>
              </w:rPr>
              <w:t>3</w:t>
            </w:r>
            <w:r>
              <w:rPr>
                <w:rFonts w:ascii="仿宋_GB2312" w:hAnsi="仿宋_GB2312" w:cs="仿宋_GB2312" w:eastAsia="仿宋_GB2312"/>
                <w:sz w:val="20"/>
              </w:rPr>
              <w:t>、所提供车辆污染物排放符合国家和陕西省相关规定；</w:t>
            </w:r>
          </w:p>
          <w:p>
            <w:pPr>
              <w:pStyle w:val="null3"/>
            </w:pPr>
            <w:r>
              <w:rPr>
                <w:rFonts w:ascii="仿宋_GB2312" w:hAnsi="仿宋_GB2312" w:cs="仿宋_GB2312" w:eastAsia="仿宋_GB2312"/>
                <w:sz w:val="20"/>
              </w:rPr>
              <w:t>4</w:t>
            </w:r>
            <w:r>
              <w:rPr>
                <w:rFonts w:ascii="仿宋_GB2312" w:hAnsi="仿宋_GB2312" w:cs="仿宋_GB2312" w:eastAsia="仿宋_GB2312"/>
                <w:sz w:val="20"/>
              </w:rPr>
              <w:t>、所提供车辆年检合格，车辆保险手续齐全；</w:t>
            </w:r>
          </w:p>
          <w:p>
            <w:pPr>
              <w:pStyle w:val="null3"/>
            </w:pPr>
            <w:r>
              <w:rPr>
                <w:rFonts w:ascii="仿宋_GB2312" w:hAnsi="仿宋_GB2312" w:cs="仿宋_GB2312" w:eastAsia="仿宋_GB2312"/>
                <w:sz w:val="20"/>
              </w:rPr>
              <w:t>5</w:t>
            </w:r>
            <w:r>
              <w:rPr>
                <w:rFonts w:ascii="仿宋_GB2312" w:hAnsi="仿宋_GB2312" w:cs="仿宋_GB2312" w:eastAsia="仿宋_GB2312"/>
                <w:sz w:val="20"/>
              </w:rPr>
              <w:t>、驾驶员具备与驾驶车辆相匹配的、交警部门核发有效的机动车驾驶证，身体健康、品行端正。</w:t>
            </w:r>
          </w:p>
          <w:p>
            <w:pPr>
              <w:pStyle w:val="null3"/>
            </w:pPr>
            <w:r>
              <w:rPr>
                <w:rFonts w:ascii="仿宋_GB2312" w:hAnsi="仿宋_GB2312" w:cs="仿宋_GB2312" w:eastAsia="仿宋_GB2312"/>
                <w:sz w:val="20"/>
              </w:rPr>
              <w:t>三</w:t>
            </w:r>
            <w:r>
              <w:rPr>
                <w:rFonts w:ascii="仿宋_GB2312" w:hAnsi="仿宋_GB2312" w:cs="仿宋_GB2312" w:eastAsia="仿宋_GB2312"/>
                <w:sz w:val="20"/>
              </w:rPr>
              <w:t>、应急措施</w:t>
            </w:r>
          </w:p>
          <w:p>
            <w:pPr>
              <w:pStyle w:val="null3"/>
            </w:pPr>
            <w:r>
              <w:rPr>
                <w:rFonts w:ascii="仿宋_GB2312" w:hAnsi="仿宋_GB2312" w:cs="仿宋_GB2312" w:eastAsia="仿宋_GB2312"/>
                <w:sz w:val="20"/>
              </w:rPr>
              <w:t>1</w:t>
            </w:r>
            <w:r>
              <w:rPr>
                <w:rFonts w:ascii="仿宋_GB2312" w:hAnsi="仿宋_GB2312" w:cs="仿宋_GB2312" w:eastAsia="仿宋_GB2312"/>
                <w:sz w:val="20"/>
              </w:rPr>
              <w:t>、服务过程中抛锚、事故或因车辆租赁服务单位原因无法行驶时，必须及时提供相同或者高于服务车辆配置的车辆前往服务地点。</w:t>
            </w:r>
          </w:p>
          <w:p>
            <w:pPr>
              <w:pStyle w:val="null3"/>
            </w:pPr>
            <w:r>
              <w:rPr>
                <w:rFonts w:ascii="仿宋_GB2312" w:hAnsi="仿宋_GB2312" w:cs="仿宋_GB2312" w:eastAsia="仿宋_GB2312"/>
                <w:sz w:val="21"/>
              </w:rPr>
              <w:t>2</w:t>
            </w:r>
            <w:r>
              <w:rPr>
                <w:rFonts w:ascii="仿宋_GB2312" w:hAnsi="仿宋_GB2312" w:cs="仿宋_GB2312" w:eastAsia="仿宋_GB2312"/>
                <w:sz w:val="21"/>
              </w:rPr>
              <w:t>、预约车辆后，临时改变出行计划的，双方协商解决。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报价要求： 本项目报价为固定单价，分为通勤车单价（元/车/天）和临时租用单价（元/车/次），最终根据实际出车天数据实结算，总价=通勤单价*2*252+临时租用单价*7。供应商须在首次及最后报价环节，上传报价明细表，未上传的，按无效文件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结算方式采用先用车后结算，按照实际用车次数每月结算一次，乙方于出车后次月5个工作日内向甲方开具结算金额的等额发票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结算方式采用先用车后结算，按照实际用车次数每月结算一次，乙方于出车后次月5个工作日内向甲方开具结算金额的等额发票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结算方式采用先用车后结算，按照实际用车次数每月结算一次，乙方于出车后次月5个工作日内向甲方开具结算金额的等额发票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结算方式采用先用车后结算，按照实际用车次数每月结算一次，乙方于出车后次月5个工作日内向甲方开具结算金额的等额发票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结算方式采用先用车后结算，按照实际用车次数每月结算一次，乙方于出车后次月5个工作日内向甲方开具结算金额的等额发票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结算方式采用先用车后结算，按照实际用车次数每月结算一次，乙方于出车后次月5个工作日内向甲方开具结算金额的等额发票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结算方式采用先用车后结算，按照实际用车次数每月结算一次，乙方于出车后次月5个工作日内向甲方开具结算金额的等额发票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结算方式采用先用车后结算，按照实际用车次数每月结算一次，乙方于出车后次月5个工作日内向甲方开具结算金额的等额发票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结算方式采用先用车后结算，按照实际用车次数每月结算一次，乙方于出车后次月5个工作日内向甲方开具结算金额的等额发票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结算方式采用先用车后结算，按照实际用车次数每月结算一次，乙方于出车后次月5个工作日内向甲方开具结算金额的等额发票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结算方式采用先用车后结算，按照实际用车次数每月结算一次，乙方于出车后次月5个工作日内向甲方开具结算金额的等额发票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结算方式采用先用车后结算，按照实际用车次数每月结算一次，乙方于出车后次月5个工作日内向甲方开具结算金额的等额发票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成交供应商领取通知书时，须提供纸质文件2份（与电子投标文件一致，胶装后封面盖鲜章版本）。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供应商具有道路运政管理机构核发有效的《道路运输经营许可证》，经营范围须包含客运。</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盖章或签字</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针对本项目的整体服务方案，内容包含： 1.总体服务方案； 2.针对本项目的重难点分析及解决方案； 3.行车安全检查与隐患治理措施； 4.岗位培训考核方案（包括但不限于岗前培训、定期岗位培训、考核等）。 二、评审标准 提供的上述5项内容完整可行得20分；每有一项未提供扣5分；每有一处有缺陷扣1分。 （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供应商针对本项目的人员配备方案，包含： 1.人员配备清单； 2.岗位职责及分工； 3.管理、调度及应急人员配置； 4.拟配置驾驶员情况。 二、评审标准 提供的上述5项内容完整可行得20分；每有一项未提供扣5分；每有一处有缺陷扣1分。 （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 注：以上人员均须提供身份证、驾驶证（若有）、本单位社保或劳动合同,不提供不得分。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车辆情况</w:t>
            </w:r>
          </w:p>
        </w:tc>
        <w:tc>
          <w:tcPr>
            <w:tcW w:type="dxa" w:w="2492"/>
          </w:tcPr>
          <w:p>
            <w:pPr>
              <w:pStyle w:val="null3"/>
            </w:pPr>
            <w:r>
              <w:rPr>
                <w:rFonts w:ascii="仿宋_GB2312" w:hAnsi="仿宋_GB2312" w:cs="仿宋_GB2312" w:eastAsia="仿宋_GB2312"/>
              </w:rPr>
              <w:t>一、评审内容 供应商针对本项目的车辆配备情况，包含： 1.拟投入车辆数量、型号、产权及相关车况； 2.车辆保险：包括但不限于交强险、第三者责任险及承运人责任险等； 3.车辆设施配置：包括但不限于GPS全球卫星定位系统、车内监控、空调等； 4.车辆安全配置：包括但不限于防火设施、 医用急救箱、安全锤、清洁、消毒用品等。 二、评审标准 提供的上述5项内容完整可行得20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针对通勤车司机具有详细的管理制度： 1.岗位制度：包括但不限于岗位职责、服务标准、岗位制度、作业流程等； 2.内控制度：包括但不限于组织机构、内部管理制度、监督机制等； 3.人员管理制度：包含但不限于员工日常管理办法、请销假制度、奖惩措施、激励机制、仪容仪表制度行车礼仪培训制度等； 4.“三检”(出车前、行驶中、收车后)制度。 二、评审标准 提供的上述5项内容完整可行得20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针对本项目提供应急措施保障，内容包含： 1. 车辆行驶中突发故障、恶劣天气行驶、突发交通事故和突发交通管制等的应急预案； 2. 违法事件：防盗、打架斗殴、寻衅滋事的应急预案； 3.驾驶员应急人数及人员安排； 4.应急响应时效； 5.重要接待、重大活动、各类迎检工作的应急预案。 二、评审标准 提供的上述5项内容完整可行得5分；每有一项未提供扣1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供应商提供2022年1月至今同类项目业绩，业绩以合同为依据，响应文件中附有其证明资料，每提供一个业绩证明计1分，满分5分。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