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版本号：SXXDDL-【2025】06720251219001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西安城墙散水保护修缮工程设计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SXXDDL-【2025】067</w:t>
      </w:r>
      <w:r>
        <w:br/>
      </w:r>
      <w:r>
        <w:br/>
      </w:r>
      <w:r>
        <w:br/>
      </w:r>
    </w:p>
    <w:p>
      <w:pPr>
        <w:pStyle w:val="null3"/>
        <w:jc w:val="center"/>
        <w:outlineLvl w:val="2"/>
      </w:pPr>
      <w:r>
        <w:rPr>
          <w:rFonts w:ascii="仿宋_GB2312" w:hAnsi="仿宋_GB2312" w:cs="仿宋_GB2312" w:eastAsia="仿宋_GB2312"/>
          <w:sz w:val="28"/>
          <w:b/>
        </w:rPr>
        <w:t>西安城墙管理委员会</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西安城墙管理委员会</w:t>
      </w:r>
      <w:r>
        <w:rPr>
          <w:rFonts w:ascii="仿宋_GB2312" w:hAnsi="仿宋_GB2312" w:cs="仿宋_GB2312" w:eastAsia="仿宋_GB2312"/>
        </w:rPr>
        <w:t>委托，拟对</w:t>
      </w:r>
      <w:r>
        <w:rPr>
          <w:rFonts w:ascii="仿宋_GB2312" w:hAnsi="仿宋_GB2312" w:cs="仿宋_GB2312" w:eastAsia="仿宋_GB2312"/>
        </w:rPr>
        <w:t>西安城墙散水保护修缮工程设计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SXXDDL-【2025】067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西安城墙散水保护修缮工程设计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工程的范围为西安城墙一周（东、西、南、北墙段散水，不包含已做区域），长度约14公里。本次设计内容主要为西安城墙一周（东、西、南、北墙段）墙根处浅层覆土置换、构建防排水系统，解决区域内覆土含水量偏高，无有效排水措施现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采购包1（西安城墙散水保护修缮工程设计）：属于专门面向中小企业采购。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身份证明：法定代表人直接参加磋商的，须提供法定代表人身份证明及身份证；法定代表人授权他人参加的，须提供法定代表人授权书（附法定代表人身份证、被授权人身份证、被授权人劳动合同及磋商截止时间前半年至少一个月的社保缴纳证明复印件）。供应商需在项目电子化交易系统中按要求上传相应证明文件并进行电子签章。</w:t>
      </w:r>
    </w:p>
    <w:p>
      <w:pPr>
        <w:pStyle w:val="null3"/>
      </w:pPr>
      <w:r>
        <w:rPr>
          <w:rFonts w:ascii="仿宋_GB2312" w:hAnsi="仿宋_GB2312" w:cs="仿宋_GB2312" w:eastAsia="仿宋_GB2312"/>
        </w:rPr>
        <w:t>2、参加本项目的潜在供应商须无不良信用记录：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西安城墙管理委员会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西安曲江新区雁翔路3168号雁翔广场1号楼4层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029-89622938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郭佳佳、曹静、赵佳欢、罗雪绒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029-88092915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采购包1：887,800.00元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lt;招标代理服务收费管理暂行办法&gt;的通知》（计价格[2002]1980号）规定标准（按包）收取，收取比例30%，取费基数为成交价，由成交供应商向采购代理机构支付。由成交供应商在领取成交通知书前进行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西安城墙管理委员会</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西安城墙管理委员会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西安城墙管理委员会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4、供应商向采购人提交的项目实施过程中的所有资料（供应商应向采购人提交项目实施过程中的所有资料，以便采购人日后管理和维护）。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联系人：郭佳佳、曹静、赵佳欢、罗雪绒</w:t>
      </w:r>
    </w:p>
    <w:p>
      <w:pPr>
        <w:pStyle w:val="null3"/>
      </w:pPr>
      <w:r>
        <w:rPr>
          <w:rFonts w:ascii="仿宋_GB2312" w:hAnsi="仿宋_GB2312" w:cs="仿宋_GB2312" w:eastAsia="仿宋_GB2312"/>
        </w:rPr>
        <w:t>联系电话：029-88092915</w:t>
      </w:r>
    </w:p>
    <w:p>
      <w:pPr>
        <w:pStyle w:val="null3"/>
      </w:pPr>
      <w:r>
        <w:rPr>
          <w:rFonts w:ascii="仿宋_GB2312" w:hAnsi="仿宋_GB2312" w:cs="仿宋_GB2312" w:eastAsia="仿宋_GB2312"/>
        </w:rPr>
        <w:t>地址：西安市浐灞生态区金桥二路2566号浐灞金融城A座12层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工程的范围为西安城墙一周（东、西、南、北墙段散水，不包含已做区域），长度约14公里。本次设计内容主要为西安城墙一周（东、西、南、北墙段）墙根处浅层覆土置换、构建防排水系统，解决区域内覆土含水量偏高，无有效排水措施现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887,800.00</w:t>
      </w:r>
    </w:p>
    <w:p>
      <w:pPr>
        <w:pStyle w:val="null3"/>
      </w:pPr>
      <w:r>
        <w:rPr>
          <w:rFonts w:ascii="仿宋_GB2312" w:hAnsi="仿宋_GB2312" w:cs="仿宋_GB2312" w:eastAsia="仿宋_GB2312"/>
        </w:rPr>
        <w:t>采购包最高限价（元）: 887,800.00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散水保护修缮工程设计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887,800.00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标的名称：散水保护修缮工程设计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34"/>
              <w:gridCol w:w="1819"/>
            </w:tblGrid>
            <w:tr>
              <w:tc>
                <w:tcPr>
                  <w:tcW w:type="dxa" w:w="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技术要求名称</w:t>
                  </w:r>
                </w:p>
              </w:tc>
              <w:tc>
                <w:tcPr>
                  <w:tcW w:type="dxa" w:w="18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r>
                    <w:rPr>
                      <w:rFonts w:ascii="仿宋_GB2312" w:hAnsi="仿宋_GB2312" w:cs="仿宋_GB2312" w:eastAsia="仿宋_GB2312"/>
                      <w:sz w:val="19"/>
                    </w:rPr>
                    <w:t>目标</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城墙是中国现存历史最悠久、规模最宏大、保存最完整的古代城垣建筑，是第一批全国重点文物保护单位。西安城墙外侧墙体底部多为草坪、树木及灌木扎根深入土层，使得城墙根部土壤疏松、孔隙增大。强降雨时，雨水易从孔隙渗入城墙基础底部，造成城墙基础土体含水率上升，墙体地基土承载力降低，易引发墙体基础沉降，严重威胁城墙本体安全。</w:t>
                  </w:r>
                </w:p>
                <w:p>
                  <w:pPr>
                    <w:pStyle w:val="null3"/>
                  </w:pPr>
                  <w:r>
                    <w:rPr>
                      <w:rFonts w:ascii="仿宋_GB2312" w:hAnsi="仿宋_GB2312" w:cs="仿宋_GB2312" w:eastAsia="仿宋_GB2312"/>
                      <w:sz w:val="18"/>
                    </w:rPr>
                    <w:t>为践行不改变文物原状和最小干预的文物保护原则，及时控制城墙病害发展，科学进行管理决策，确保文物安全计划开展西安城墙散水保护修缮工程方案设计工作。</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项目内容</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通过现场调查、收集相关资料和计算分析等方法，对项目开展现状测绘、勘察，掌握文物赋存环境的病害现状、破坏因素、破坏机理和病害发生的原因，为保护工程设计提供直接依据。</w:t>
                  </w:r>
                </w:p>
                <w:p>
                  <w:pPr>
                    <w:pStyle w:val="null3"/>
                    <w:jc w:val="both"/>
                  </w:pPr>
                  <w:r>
                    <w:rPr>
                      <w:rFonts w:ascii="仿宋_GB2312" w:hAnsi="仿宋_GB2312" w:cs="仿宋_GB2312" w:eastAsia="仿宋_GB2312"/>
                      <w:sz w:val="18"/>
                    </w:rPr>
                    <w:t>结合现场勘察和监测数据，研判病害发展趋势，并提出保护思路和方法，编制技术方案，技术方案需通过文物部门审批，在修缮工程项目实施、审计和验收过程中配合并如期完成相应工作。</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项目成果</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乙方</w:t>
                  </w:r>
                  <w:r>
                    <w:rPr>
                      <w:rFonts w:ascii="仿宋_GB2312" w:hAnsi="仿宋_GB2312" w:cs="仿宋_GB2312" w:eastAsia="仿宋_GB2312"/>
                      <w:sz w:val="18"/>
                    </w:rPr>
                    <w:t>应在本合同签订后</w:t>
                  </w:r>
                  <w:r>
                    <w:rPr>
                      <w:rFonts w:ascii="仿宋_GB2312" w:hAnsi="仿宋_GB2312" w:cs="仿宋_GB2312" w:eastAsia="仿宋_GB2312"/>
                      <w:sz w:val="18"/>
                    </w:rPr>
                    <w:t>20日内，向</w:t>
                  </w:r>
                  <w:r>
                    <w:rPr>
                      <w:rFonts w:ascii="仿宋_GB2312" w:hAnsi="仿宋_GB2312" w:cs="仿宋_GB2312" w:eastAsia="仿宋_GB2312"/>
                      <w:sz w:val="18"/>
                    </w:rPr>
                    <w:t>甲方</w:t>
                  </w:r>
                  <w:r>
                    <w:rPr>
                      <w:rFonts w:ascii="仿宋_GB2312" w:hAnsi="仿宋_GB2312" w:cs="仿宋_GB2312" w:eastAsia="仿宋_GB2312"/>
                      <w:sz w:val="18"/>
                    </w:rPr>
                    <w:t>提交《西安城墙散水保护修缮工程设计》成果文件</w:t>
                  </w:r>
                  <w:r>
                    <w:rPr>
                      <w:rFonts w:ascii="仿宋_GB2312" w:hAnsi="仿宋_GB2312" w:cs="仿宋_GB2312" w:eastAsia="仿宋_GB2312"/>
                      <w:sz w:val="18"/>
                    </w:rPr>
                    <w:t>8套；方案设计文件经相关文物主管部门审核通过后，5日内提供8套施工图及电子版。</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1.拟投入本项目的项目负责人具备文物保护工程责任设计师。 2.人员配备合理满足本项目各项需求，职责分工明确。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自合同签订之日起至项目验收完成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签订本合同后，按照项目绩效评价，乙方提供等额增值税普通发票，甲方在收到发票后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应在本合同签订后20日内，向甲方提交《西安城墙散水保护修缮工程设计》成果文件8套，且设计方案成果文件经相关文物主管部门审核通过，5日内提交8套施工图及电子版后，通过项目绩效评价，乙方提供等额增值税普通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工程验收合格后，通过项目绩效评价，乙方提供等额增值税普通发票，甲方在收到发票后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供应商需在项目电子化交易系统中按要求填写《投标函》完成承诺并进行电子签章。并在响应文件中附相关证明材料。</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直接参加磋商的，须提供法定代表人身份证明及身份证；法定代表人授权他人参加的，须提供法定代表人授权书（附法定代表人身份证、被授权人身份证、被授权人劳动合同及磋商截止时间前半年至少一个月的社保缴纳证明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参加本项目的潜在供应商须无不良信用记录</w:t>
            </w:r>
          </w:p>
        </w:tc>
        <w:tc>
          <w:tcPr>
            <w:tcW w:type="dxa" w:w="3322"/>
          </w:tcPr>
          <w:p>
            <w:pPr>
              <w:pStyle w:val="null3"/>
            </w:pPr>
            <w:r>
              <w:rPr>
                <w:rFonts w:ascii="仿宋_GB2312" w:hAnsi="仿宋_GB2312" w:cs="仿宋_GB2312" w:eastAsia="仿宋_GB2312"/>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供应商名称与公章、营业执照一致</w:t>
            </w:r>
          </w:p>
        </w:tc>
        <w:tc>
          <w:tcPr>
            <w:tcW w:type="dxa" w:w="1661"/>
          </w:tcPr>
          <w:p>
            <w:pPr>
              <w:pStyle w:val="null3"/>
            </w:pPr>
            <w:r>
              <w:rPr>
                <w:rFonts w:ascii="仿宋_GB2312" w:hAnsi="仿宋_GB2312" w:cs="仿宋_GB2312" w:eastAsia="仿宋_GB2312"/>
              </w:rPr>
              <w:t>响应文件封面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供应商承诺书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供应商承诺书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对本项目理解及分析（10分） 内容完整、描述详尽、可实施、且有针对性得10分；内容完整、可实施得7分；内容基本完整得3分；未提供不得分。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1.总体设计方案（5分） 内容完整、可实施、且有针对性得5分；内容完整、描述详尽、可实施得3分；方案基本完整得1分；未提供不得分。 2.对本项目设计方案技术可行性分析（5分） 内容完整、描述详尽、可实施、且有针对性得5分；内容完整、可实施得3分；方案基本完整得1分；未提供不得分。 3.对本项目设计工作内容概述（5分） 内容完整、描述详尽、可实施、且有针对性得5分；内容完整、可实施得3分；方案基本完整得1分；未提供不得分。 4.现场勘察方案（5分） 内容完整、可实施、且有针对性得5分；内容完整、描述详尽、可实施得3分；方案基本完整得1分；未提供不得分。 5.技术规范规定符合性（5分） 内容完整、可实施、且有针对性得5分；内容完整、描述详尽、可实施得3分；方案基本完整得1分；未提供不得分。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重、难点分析及关键过程分析</w:t>
            </w:r>
          </w:p>
        </w:tc>
        <w:tc>
          <w:tcPr>
            <w:tcW w:type="dxa" w:w="2492"/>
          </w:tcPr>
          <w:p>
            <w:pPr>
              <w:pStyle w:val="null3"/>
            </w:pPr>
            <w:r>
              <w:rPr>
                <w:rFonts w:ascii="仿宋_GB2312" w:hAnsi="仿宋_GB2312" w:cs="仿宋_GB2312" w:eastAsia="仿宋_GB2312"/>
              </w:rPr>
              <w:t>1.项目实施重点、难点及对策措施（5分） 内容完整、可实施、且有针对性得5分；内容完整、可实施得3分；方案基本完整得1分；未提供不得分。 2.关键过程分析（5分） 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1.项目工作进度计划安排（5分） 内容完整、条理清晰、且有针对性得5分；内容完整、可实施得3分；内容基本完整1分；未提供不得分。 2.项目进度保证措施（5分）内容完整、条理清晰、且有针对性得5分；内容完整、可实施得3分；内容基本完整1分；未提供不得分。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1.项目质量目标（5分） 内容完整、条理清晰、且有针对性得5分；内容完整、可实施得3分；内容基本完整1分；未提供不得分。 2.设计阶段控制措施（5分） 内容完整、条理清晰、且有针对性得5分；内容完整、可实施得3分；内容基本完整1分；未提供不得分。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针对本项目后期服务配合、过程资料管理有具体的服务承诺（5分） 内容完整、条理清晰、可实施得5分；内容完整、可实施得3分；内容基本完整1分；未提供不得分。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针对本项目的合理化建议（5分） 内容完整、条理清晰、可实施得5分；内容完整、可实施得3分；内容基本完整1分；未提供不得分。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本项目的项目负责人、其他人员组织架构情况（5分）人员专业性强、经验丰富、满足本项目需求得5分；专业性强、满足本项目需求得3分；满足本项目需求得1分；未提供不得分。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须提供近三年（2023年1月至磋商截止时间）类似项目设计业绩，以供应商提供的合同或中标（成交）通知书复印件（或扫描件）为准（日期以合同签订时间或中标（成交）通知书时间为准），每提供一份得5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满足采购文件要求且报价最低的响应报价为评审基准价，其价格分为满分。其他供应商的价格分统一按照下列公式计算：报价得分=（评标基准价/响应报价）×价格分值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