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70007B">
      <w:pPr>
        <w:pStyle w:val="2"/>
        <w:jc w:val="center"/>
        <w:rPr>
          <w:rFonts w:hint="eastAsia" w:ascii="Times New Roman" w:hAnsi="Times New Roman" w:eastAsia="黑体"/>
          <w:b/>
          <w:sz w:val="32"/>
          <w:szCs w:val="32"/>
          <w:lang w:val="zh-CN"/>
        </w:rPr>
      </w:pPr>
      <w:r>
        <w:rPr>
          <w:rFonts w:ascii="Times New Roman" w:hAnsi="Times New Roman" w:eastAsia="黑体"/>
          <w:b/>
          <w:sz w:val="32"/>
          <w:szCs w:val="32"/>
          <w:lang w:val="zh-CN"/>
        </w:rPr>
        <w:t>合同草案条款</w:t>
      </w:r>
    </w:p>
    <w:p w14:paraId="746D4FCF">
      <w:pPr>
        <w:spacing w:line="360" w:lineRule="auto"/>
        <w:ind w:left="6510" w:leftChars="3100" w:right="480"/>
        <w:rPr>
          <w:b/>
          <w:color w:val="000000"/>
          <w:sz w:val="24"/>
        </w:rPr>
      </w:pPr>
      <w:r>
        <w:rPr>
          <w:rFonts w:hint="eastAsia" w:hAnsi="宋体" w:cs="宋体"/>
          <w:b/>
          <w:sz w:val="24"/>
        </w:rPr>
        <w:t xml:space="preserve"> </w:t>
      </w:r>
      <w:r>
        <w:rPr>
          <w:rFonts w:hAnsi="宋体" w:cs="宋体"/>
          <w:b/>
          <w:sz w:val="24"/>
        </w:rPr>
        <w:t xml:space="preserve"> 合同编号</w:t>
      </w:r>
      <w:r>
        <w:rPr>
          <w:rFonts w:hint="eastAsia" w:hAnsi="宋体" w:cs="宋体"/>
          <w:b/>
          <w:sz w:val="24"/>
        </w:rPr>
        <w:t>：</w:t>
      </w:r>
    </w:p>
    <w:p w14:paraId="443DE2B0">
      <w:pPr>
        <w:tabs>
          <w:tab w:val="left" w:pos="735"/>
        </w:tabs>
        <w:autoSpaceDE w:val="0"/>
        <w:autoSpaceDN w:val="0"/>
        <w:adjustRightInd w:val="0"/>
        <w:snapToGrid w:val="0"/>
        <w:spacing w:before="240" w:beforeLines="100" w:line="360" w:lineRule="auto"/>
        <w:ind w:firstLine="629"/>
        <w:rPr>
          <w:rFonts w:ascii="仿宋_GB2312" w:hAnsi="仿宋" w:eastAsia="仿宋_GB2312"/>
          <w:b/>
          <w:bCs/>
          <w:sz w:val="20"/>
          <w:szCs w:val="20"/>
          <w:lang w:val="zh-CN"/>
        </w:rPr>
      </w:pPr>
      <w:r>
        <w:rPr>
          <w:rFonts w:hint="eastAsia" w:ascii="仿宋_GB2312" w:hAnsi="仿宋" w:eastAsia="仿宋_GB2312"/>
          <w:b/>
          <w:bCs/>
          <w:sz w:val="20"/>
          <w:szCs w:val="20"/>
          <w:lang w:val="zh-CN"/>
        </w:rPr>
        <w:t>甲方：</w:t>
      </w:r>
      <w:r>
        <w:rPr>
          <w:rFonts w:hint="eastAsia" w:ascii="仿宋_GB2312" w:hAnsi="仿宋" w:eastAsia="仿宋_GB2312"/>
          <w:bCs/>
          <w:sz w:val="20"/>
          <w:szCs w:val="20"/>
          <w:lang w:val="zh-CN"/>
        </w:rPr>
        <w:t>（前款所称采购人）         住所：</w:t>
      </w:r>
    </w:p>
    <w:p w14:paraId="7F262B27">
      <w:pPr>
        <w:tabs>
          <w:tab w:val="left" w:pos="735"/>
        </w:tabs>
        <w:autoSpaceDE w:val="0"/>
        <w:autoSpaceDN w:val="0"/>
        <w:adjustRightInd w:val="0"/>
        <w:snapToGrid w:val="0"/>
        <w:spacing w:line="360" w:lineRule="auto"/>
        <w:ind w:firstLine="631"/>
        <w:rPr>
          <w:rFonts w:ascii="仿宋_GB2312" w:hAnsi="仿宋" w:eastAsia="仿宋_GB2312"/>
          <w:bCs/>
          <w:sz w:val="20"/>
          <w:szCs w:val="20"/>
          <w:lang w:val="zh-CN"/>
        </w:rPr>
      </w:pPr>
      <w:r>
        <w:rPr>
          <w:rFonts w:hint="eastAsia" w:ascii="仿宋_GB2312" w:hAnsi="仿宋" w:eastAsia="仿宋_GB2312"/>
          <w:b/>
          <w:bCs/>
          <w:sz w:val="20"/>
          <w:szCs w:val="20"/>
          <w:lang w:val="zh-CN"/>
        </w:rPr>
        <w:t>乙方：</w:t>
      </w:r>
      <w:r>
        <w:rPr>
          <w:rFonts w:hint="eastAsia" w:ascii="仿宋_GB2312" w:hAnsi="仿宋" w:eastAsia="仿宋_GB2312"/>
          <w:bCs/>
          <w:sz w:val="20"/>
          <w:szCs w:val="20"/>
          <w:lang w:val="zh-CN"/>
        </w:rPr>
        <w:t>（前款所称成交供应商）     住所：</w:t>
      </w:r>
    </w:p>
    <w:p w14:paraId="285DF925">
      <w:pPr>
        <w:adjustRightInd w:val="0"/>
        <w:snapToGrid w:val="0"/>
        <w:spacing w:line="360" w:lineRule="auto"/>
        <w:ind w:firstLine="400" w:firstLineChars="200"/>
        <w:rPr>
          <w:rFonts w:ascii="仿宋_GB2312" w:hAnsi="仿宋" w:eastAsia="仿宋_GB2312"/>
          <w:sz w:val="20"/>
          <w:szCs w:val="20"/>
        </w:rPr>
      </w:pPr>
      <w:bookmarkStart w:id="0" w:name="_Toc19515384"/>
      <w:r>
        <w:rPr>
          <w:rFonts w:hint="eastAsia" w:ascii="仿宋_GB2312" w:hAnsi="仿宋" w:eastAsia="仿宋_GB2312"/>
          <w:sz w:val="20"/>
          <w:szCs w:val="20"/>
        </w:rPr>
        <w:t>一、合同内容:</w:t>
      </w:r>
      <w:bookmarkEnd w:id="0"/>
    </w:p>
    <w:p w14:paraId="7A74936E">
      <w:pPr>
        <w:adjustRightInd w:val="0"/>
        <w:snapToGrid w:val="0"/>
        <w:spacing w:line="360" w:lineRule="auto"/>
        <w:ind w:firstLine="400" w:firstLineChars="200"/>
        <w:rPr>
          <w:rFonts w:ascii="仿宋_GB2312" w:hAnsi="仿宋" w:eastAsia="仿宋_GB2312"/>
          <w:sz w:val="20"/>
          <w:szCs w:val="20"/>
        </w:rPr>
      </w:pPr>
      <w:bookmarkStart w:id="1" w:name="_Toc19515385"/>
      <w:r>
        <w:rPr>
          <w:rFonts w:hint="eastAsia" w:ascii="仿宋_GB2312" w:hAnsi="仿宋" w:eastAsia="仿宋_GB2312"/>
          <w:sz w:val="20"/>
          <w:szCs w:val="20"/>
        </w:rPr>
        <w:t>二、合同价款</w:t>
      </w:r>
      <w:bookmarkEnd w:id="1"/>
    </w:p>
    <w:p w14:paraId="3EBC3C8E">
      <w:pPr>
        <w:adjustRightInd w:val="0"/>
        <w:snapToGrid w:val="0"/>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1、合同总价：</w:t>
      </w:r>
    </w:p>
    <w:p w14:paraId="64ABCBD7">
      <w:pPr>
        <w:adjustRightInd w:val="0"/>
        <w:snapToGrid w:val="0"/>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2、合同总价包括：完成本项目所需的一切费用。</w:t>
      </w:r>
    </w:p>
    <w:p w14:paraId="5CF3D2D2">
      <w:pPr>
        <w:adjustRightInd w:val="0"/>
        <w:snapToGrid w:val="0"/>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3、合同单价一次包死，不受市场价变化的影响。</w:t>
      </w:r>
    </w:p>
    <w:p w14:paraId="6DA122CC">
      <w:pPr>
        <w:adjustRightInd w:val="0"/>
        <w:snapToGrid w:val="0"/>
        <w:spacing w:line="360" w:lineRule="auto"/>
        <w:ind w:firstLine="400" w:firstLineChars="200"/>
        <w:rPr>
          <w:rFonts w:ascii="仿宋_GB2312" w:hAnsi="仿宋" w:eastAsia="仿宋_GB2312"/>
          <w:sz w:val="20"/>
          <w:szCs w:val="20"/>
        </w:rPr>
      </w:pPr>
      <w:bookmarkStart w:id="2" w:name="_Toc19515386"/>
      <w:r>
        <w:rPr>
          <w:rFonts w:hint="eastAsia" w:ascii="仿宋_GB2312" w:hAnsi="仿宋" w:eastAsia="仿宋_GB2312"/>
          <w:sz w:val="20"/>
          <w:szCs w:val="20"/>
        </w:rPr>
        <w:t>三、合同结算</w:t>
      </w:r>
      <w:bookmarkEnd w:id="2"/>
    </w:p>
    <w:p w14:paraId="077F58A6">
      <w:pPr>
        <w:adjustRightInd w:val="0"/>
        <w:snapToGrid w:val="0"/>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1、付款比例：</w:t>
      </w:r>
    </w:p>
    <w:p w14:paraId="0989CD21">
      <w:pPr>
        <w:adjustRightInd w:val="0"/>
        <w:snapToGrid w:val="0"/>
        <w:spacing w:line="360" w:lineRule="auto"/>
        <w:ind w:firstLine="400" w:firstLineChars="200"/>
        <w:rPr>
          <w:rFonts w:hint="eastAsia" w:ascii="仿宋_GB2312" w:hAnsi="仿宋" w:eastAsia="仿宋_GB2312"/>
          <w:color w:val="auto"/>
          <w:sz w:val="20"/>
          <w:szCs w:val="20"/>
        </w:rPr>
      </w:pPr>
      <w:r>
        <w:rPr>
          <w:rFonts w:hint="eastAsia" w:ascii="仿宋_GB2312" w:hAnsi="仿宋" w:eastAsia="仿宋_GB2312"/>
          <w:color w:val="auto"/>
          <w:sz w:val="20"/>
          <w:szCs w:val="20"/>
        </w:rPr>
        <w:t>1、合同签订后，甲方每三个月向乙方支付一次房租。</w:t>
      </w:r>
    </w:p>
    <w:p w14:paraId="572B5AAA">
      <w:pPr>
        <w:adjustRightInd w:val="0"/>
        <w:snapToGrid w:val="0"/>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2、结算方式：银行转账。</w:t>
      </w:r>
    </w:p>
    <w:p w14:paraId="34DB9CB8">
      <w:pPr>
        <w:adjustRightInd w:val="0"/>
        <w:snapToGrid w:val="0"/>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3、结算单位：由甲方负责结算，付款前，乙方需开具支付金额的等额发票交甲方。</w:t>
      </w:r>
    </w:p>
    <w:p w14:paraId="2E84AB7D">
      <w:pPr>
        <w:adjustRightInd w:val="0"/>
        <w:snapToGrid w:val="0"/>
        <w:spacing w:line="360" w:lineRule="auto"/>
        <w:ind w:firstLine="400" w:firstLineChars="200"/>
        <w:rPr>
          <w:rFonts w:ascii="仿宋_GB2312" w:hAnsi="仿宋" w:eastAsia="仿宋_GB2312"/>
          <w:sz w:val="20"/>
          <w:szCs w:val="20"/>
        </w:rPr>
      </w:pPr>
      <w:bookmarkStart w:id="3" w:name="_Toc19515387"/>
      <w:r>
        <w:rPr>
          <w:rFonts w:hint="eastAsia" w:ascii="仿宋_GB2312" w:hAnsi="仿宋" w:eastAsia="仿宋_GB2312"/>
          <w:sz w:val="20"/>
          <w:szCs w:val="20"/>
        </w:rPr>
        <w:t>四、履行期限、地点及方式:</w:t>
      </w:r>
      <w:bookmarkEnd w:id="3"/>
    </w:p>
    <w:p w14:paraId="3280702B">
      <w:pPr>
        <w:adjustRightInd w:val="0"/>
        <w:snapToGrid w:val="0"/>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1、履行期限：两年。</w:t>
      </w:r>
    </w:p>
    <w:p w14:paraId="6C066F53">
      <w:pPr>
        <w:adjustRightInd w:val="0"/>
        <w:snapToGrid w:val="0"/>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2、地点：按照</w:t>
      </w:r>
      <w:r>
        <w:rPr>
          <w:rFonts w:ascii="仿宋_GB2312" w:eastAsia="仿宋_GB2312"/>
          <w:sz w:val="20"/>
          <w:szCs w:val="20"/>
        </w:rPr>
        <w:t>采购人指定地点</w:t>
      </w:r>
    </w:p>
    <w:p w14:paraId="467587A5">
      <w:pPr>
        <w:adjustRightInd w:val="0"/>
        <w:snapToGrid w:val="0"/>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3、方式：</w:t>
      </w:r>
      <w:bookmarkStart w:id="4" w:name="_Toc19515388"/>
      <w:r>
        <w:rPr>
          <w:rFonts w:hint="eastAsia" w:ascii="仿宋_GB2312" w:hAnsi="仿宋" w:eastAsia="仿宋_GB2312"/>
          <w:sz w:val="20"/>
          <w:szCs w:val="20"/>
        </w:rPr>
        <w:t>按照采购人要求</w:t>
      </w:r>
    </w:p>
    <w:bookmarkEnd w:id="4"/>
    <w:p w14:paraId="69FC066B">
      <w:pPr>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五、其他事项：</w:t>
      </w:r>
    </w:p>
    <w:p w14:paraId="3E8EAB96">
      <w:pPr>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1、乙方不得转让、分包给其它单位或个人。</w:t>
      </w:r>
    </w:p>
    <w:p w14:paraId="41227179">
      <w:pPr>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2、乙方的响应文件和承诺等内容将列入合同。</w:t>
      </w:r>
    </w:p>
    <w:p w14:paraId="24B77C60">
      <w:pPr>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六、验收</w:t>
      </w:r>
    </w:p>
    <w:p w14:paraId="6D8D92C1">
      <w:pPr>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1、验收依据：</w:t>
      </w:r>
    </w:p>
    <w:p w14:paraId="381314D4">
      <w:pPr>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1-1、合同文本、合同附件、单一来源采购文件、响应文件。</w:t>
      </w:r>
    </w:p>
    <w:p w14:paraId="2676EEF3">
      <w:pPr>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1-2、国内相应的标准、规范。</w:t>
      </w:r>
    </w:p>
    <w:p w14:paraId="247D1BA1">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七、甲方的权利和义务：</w:t>
      </w:r>
    </w:p>
    <w:p w14:paraId="06822F44">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1、甲方有权对合同规定范围内乙方的服务行为进行监督和检查，拥有监管权。有权定期核对乙方提供服务所配备的数量。对甲方认为不合理的部分有权下达整改通知书，并要求乙方限期整改。</w:t>
      </w:r>
    </w:p>
    <w:p w14:paraId="38792A00">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2、甲方有权依据双方签订的考评办法对乙方提供的服务进行定期考评。当考评结果未达到标准时，有权依据考评办法约定的数额扣除履约保证金。</w:t>
      </w:r>
    </w:p>
    <w:p w14:paraId="5D33DEA9">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3、负责检查监督乙方管理工作的实施及制度的执行情况。</w:t>
      </w:r>
    </w:p>
    <w:p w14:paraId="29C9678E">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4、根据本合同规定，按时向乙方支付应付费用。</w:t>
      </w:r>
    </w:p>
    <w:p w14:paraId="23E0CC2A">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5、出租场地因自然条件、地质灾害等不可抗拒的、非甲方因素造成的损坏,甲方不承担赔偿责任。</w:t>
      </w:r>
    </w:p>
    <w:p w14:paraId="6E5FFAF9">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6、国家法律、法规所规定由甲方承担的其它责任。</w:t>
      </w:r>
    </w:p>
    <w:p w14:paraId="31350B2D">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八、乙方的权利和义务：</w:t>
      </w:r>
    </w:p>
    <w:p w14:paraId="527DFBEC">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1、乙方保证出租的场地及附属设施属于其合法所有，无产权纠纷、争议,不存在任何所有权、使用权争议,更不存在以该租赁物非法集资、借贷等情形。租赁期内发生产权纠纷、债权债务等问题的,由乙方负责处理,不得影响甲方的正常使用，若给甲方造成损失（包括实际损失、可期待利益、误工损失及律师费），应承担全部赔偿责任；</w:t>
      </w:r>
    </w:p>
    <w:p w14:paraId="1F900F08">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2、乙方在合同期内应负责甲方租赁场所维修（包括墙,顶，屋面防水，上下水管道，地面，污水管道清理及附属设施的维修，以及易损件门窗，锁具，五金水暖，灯光照明等的更换）,保证水电配套正常使用（因维修产生的一切耗材、人工等费用由乙方负责承担）。如因该等事由影响甲方使用,甲方扣除相应的租金，并有权要求乙方赔偿损失（包括实际损失、可期待利益及律师费）；</w:t>
      </w:r>
    </w:p>
    <w:p w14:paraId="21D25841">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3、乙方负责将场地及附属设施交付甲方使用,保证场地、附属设施符合甲方的要求；</w:t>
      </w:r>
    </w:p>
    <w:p w14:paraId="039742D5">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4、乙方保证在租赁期内不得向第三人出售或再次出租租赁场地及附属设施,保证甲方完整占有使用租赁场地；</w:t>
      </w:r>
    </w:p>
    <w:p w14:paraId="08D217FA">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5、及时向甲方通告本项目执行范围内有关的重大事项，及时配合处理投诉。</w:t>
      </w:r>
    </w:p>
    <w:p w14:paraId="7128D513">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6、接受项目行业管理部门及政府有关部门的指导，接受甲方的监督。</w:t>
      </w:r>
    </w:p>
    <w:p w14:paraId="267F611A">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7、国家法律、法规所规定由乙方承担的其它责任。</w:t>
      </w:r>
    </w:p>
    <w:p w14:paraId="58DA965E">
      <w:pPr>
        <w:spacing w:line="360" w:lineRule="auto"/>
        <w:ind w:firstLine="400" w:firstLineChars="200"/>
        <w:rPr>
          <w:rFonts w:ascii="仿宋_GB2312" w:eastAsia="仿宋_GB2312"/>
          <w:sz w:val="20"/>
          <w:szCs w:val="20"/>
        </w:rPr>
      </w:pPr>
      <w:r>
        <w:rPr>
          <w:rFonts w:hint="eastAsia" w:ascii="仿宋_GB2312" w:eastAsia="仿宋_GB2312"/>
          <w:sz w:val="20"/>
          <w:szCs w:val="20"/>
        </w:rPr>
        <w:t>九、消防安全保证</w:t>
      </w:r>
    </w:p>
    <w:p w14:paraId="0B2273E3">
      <w:pPr>
        <w:spacing w:line="360" w:lineRule="auto"/>
        <w:ind w:firstLine="400" w:firstLineChars="200"/>
        <w:rPr>
          <w:rFonts w:hint="eastAsia" w:ascii="仿宋_GB2312" w:hAnsi="仿宋" w:eastAsia="仿宋_GB2312"/>
          <w:sz w:val="20"/>
          <w:szCs w:val="20"/>
        </w:rPr>
      </w:pPr>
      <w:r>
        <w:rPr>
          <w:rFonts w:hint="eastAsia" w:eastAsia="仿宋_GB2312"/>
          <w:sz w:val="20"/>
          <w:szCs w:val="20"/>
        </w:rPr>
        <w:t>供应商承诺所提供的场地均符合国家消防安全规定，安全通道畅通、消防专用水到位以及配备专用消防设备设施。</w:t>
      </w:r>
    </w:p>
    <w:p w14:paraId="40AA9644">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十、违约责任</w:t>
      </w:r>
    </w:p>
    <w:p w14:paraId="7383F26D">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1、违约责任按《中华人民共和国民法典》处理中的相关条款执行。</w:t>
      </w:r>
    </w:p>
    <w:p w14:paraId="40517169">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2、乙方履约延误</w:t>
      </w:r>
    </w:p>
    <w:p w14:paraId="25895C23">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2-1、如乙方事先未征得甲方同意并得到甲方的谅解而单方面延迟交货和提供服务，将按违约终止合同。</w:t>
      </w:r>
    </w:p>
    <w:p w14:paraId="5214E120">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519A3351">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3、违约终止合同：未按合同要求提供服务或服务标准未满足要求，甲方会同监督机构有权终止合同，对乙方违约行为进行追究，同时按政府采购法的有关规定进行相应的处罚。</w:t>
      </w:r>
    </w:p>
    <w:p w14:paraId="0DBEEA66">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十一、不可抗力事件处理</w:t>
      </w:r>
    </w:p>
    <w:p w14:paraId="649A20B8">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01A8B38F">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14:paraId="44640605">
      <w:pPr>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十二、合同组成</w:t>
      </w:r>
    </w:p>
    <w:p w14:paraId="6D2EFB0F">
      <w:pPr>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1、成交通知书</w:t>
      </w:r>
    </w:p>
    <w:p w14:paraId="05B23B5B">
      <w:pPr>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2、合同文件</w:t>
      </w:r>
    </w:p>
    <w:p w14:paraId="256F5508">
      <w:pPr>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3、国家相关规范及标准</w:t>
      </w:r>
    </w:p>
    <w:p w14:paraId="28AD1149">
      <w:pPr>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4、单一来源采购文件</w:t>
      </w:r>
    </w:p>
    <w:p w14:paraId="30B07C64">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5、响应文件</w:t>
      </w:r>
    </w:p>
    <w:p w14:paraId="50C83201">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十三、解决争议的方法</w:t>
      </w:r>
    </w:p>
    <w:p w14:paraId="405041CD">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凡因本合同引起的或与本合同有关的争议，双方应友好协商解决。协商不成时，双方均同意采用以下第（  ）种争议解决方式：</w:t>
      </w:r>
    </w:p>
    <w:p w14:paraId="0FE98CF8">
      <w:pPr>
        <w:spacing w:line="360" w:lineRule="auto"/>
        <w:ind w:firstLine="400" w:firstLineChars="200"/>
        <w:rPr>
          <w:rFonts w:hint="eastAsia" w:ascii="仿宋_GB2312" w:hAnsi="仿宋" w:eastAsia="仿宋_GB2312"/>
          <w:sz w:val="20"/>
          <w:szCs w:val="20"/>
        </w:rPr>
      </w:pPr>
      <w:r>
        <w:rPr>
          <w:rFonts w:hint="eastAsia" w:ascii="仿宋_GB2312" w:hAnsi="仿宋" w:eastAsia="仿宋_GB2312"/>
          <w:sz w:val="20"/>
          <w:szCs w:val="20"/>
        </w:rPr>
        <w:t>（1）、甲、乙双方均同意向（甲方所在地人民法院）提起诉讼。</w:t>
      </w:r>
    </w:p>
    <w:p w14:paraId="03BA32C2">
      <w:pPr>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（2）、甲、乙双方均同意向（仲裁委员会）提起仲裁。</w:t>
      </w:r>
    </w:p>
    <w:p w14:paraId="600A66FA">
      <w:pPr>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十四、合同生效及其它</w:t>
      </w:r>
    </w:p>
    <w:p w14:paraId="5832B13C">
      <w:pPr>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1、合同未尽事宜、由甲、乙双方协商，作为合同补充，与原合同具有同等法律效力。</w:t>
      </w:r>
    </w:p>
    <w:p w14:paraId="04330F90">
      <w:pPr>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 xml:space="preserve">2、 本合同正本一式 </w:t>
      </w:r>
      <w:r>
        <w:rPr>
          <w:rFonts w:hint="eastAsia" w:ascii="仿宋_GB2312" w:hAnsi="仿宋" w:eastAsia="仿宋_GB2312"/>
          <w:sz w:val="20"/>
          <w:szCs w:val="20"/>
          <w:u w:val="single"/>
        </w:rPr>
        <w:t xml:space="preserve">  </w:t>
      </w:r>
      <w:r>
        <w:rPr>
          <w:rFonts w:hint="eastAsia" w:ascii="仿宋_GB2312" w:hAnsi="仿宋" w:eastAsia="仿宋_GB2312"/>
          <w:sz w:val="20"/>
          <w:szCs w:val="20"/>
        </w:rPr>
        <w:t>份，甲方执</w:t>
      </w:r>
      <w:r>
        <w:rPr>
          <w:rFonts w:hint="eastAsia" w:ascii="仿宋_GB2312" w:hAnsi="仿宋" w:eastAsia="仿宋_GB2312"/>
          <w:sz w:val="20"/>
          <w:szCs w:val="20"/>
          <w:u w:val="single"/>
        </w:rPr>
        <w:t xml:space="preserve">   </w:t>
      </w:r>
      <w:r>
        <w:rPr>
          <w:rFonts w:hint="eastAsia" w:ascii="仿宋_GB2312" w:hAnsi="仿宋" w:eastAsia="仿宋_GB2312"/>
          <w:sz w:val="20"/>
          <w:szCs w:val="20"/>
        </w:rPr>
        <w:t>份、乙方执</w:t>
      </w:r>
      <w:r>
        <w:rPr>
          <w:rFonts w:hint="eastAsia" w:ascii="仿宋_GB2312" w:hAnsi="仿宋" w:eastAsia="仿宋_GB2312"/>
          <w:sz w:val="20"/>
          <w:szCs w:val="20"/>
          <w:u w:val="single"/>
        </w:rPr>
        <w:t xml:space="preserve">   </w:t>
      </w:r>
      <w:r>
        <w:rPr>
          <w:rFonts w:hint="eastAsia" w:ascii="仿宋_GB2312" w:hAnsi="仿宋" w:eastAsia="仿宋_GB2312"/>
          <w:sz w:val="20"/>
          <w:szCs w:val="20"/>
        </w:rPr>
        <w:t xml:space="preserve"> 份。</w:t>
      </w:r>
    </w:p>
    <w:p w14:paraId="5C934B2B">
      <w:pPr>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3、合同经甲乙双方盖章、签字后生效，合同签订地点为</w:t>
      </w:r>
      <w:r>
        <w:rPr>
          <w:rFonts w:hint="eastAsia" w:ascii="仿宋_GB2312" w:hAnsi="仿宋" w:eastAsia="仿宋_GB2312"/>
          <w:sz w:val="20"/>
          <w:szCs w:val="20"/>
          <w:u w:val="single"/>
        </w:rPr>
        <w:t xml:space="preserve">  </w:t>
      </w:r>
      <w:r>
        <w:rPr>
          <w:rFonts w:hint="eastAsia" w:ascii="仿宋_GB2312" w:hAnsi="仿宋" w:eastAsia="仿宋_GB2312"/>
          <w:sz w:val="20"/>
          <w:szCs w:val="20"/>
        </w:rPr>
        <w:t xml:space="preserve"> 。</w:t>
      </w:r>
    </w:p>
    <w:p w14:paraId="6BA9FA35">
      <w:pPr>
        <w:spacing w:line="360" w:lineRule="auto"/>
        <w:ind w:firstLine="400" w:firstLineChars="200"/>
        <w:rPr>
          <w:rFonts w:ascii="仿宋_GB2312" w:hAnsi="仿宋" w:eastAsia="仿宋_GB2312"/>
          <w:sz w:val="20"/>
          <w:szCs w:val="20"/>
        </w:rPr>
      </w:pPr>
      <w:r>
        <w:rPr>
          <w:rFonts w:hint="eastAsia" w:ascii="仿宋_GB2312" w:hAnsi="仿宋" w:eastAsia="仿宋_GB2312"/>
          <w:sz w:val="20"/>
          <w:szCs w:val="20"/>
        </w:rPr>
        <w:t>4、生效时间：</w:t>
      </w:r>
      <w:r>
        <w:rPr>
          <w:rFonts w:hint="eastAsia" w:ascii="仿宋_GB2312" w:hAnsi="仿宋" w:eastAsia="仿宋_GB2312"/>
          <w:sz w:val="20"/>
          <w:szCs w:val="20"/>
          <w:u w:val="single"/>
        </w:rPr>
        <w:t xml:space="preserve">    </w:t>
      </w:r>
      <w:r>
        <w:rPr>
          <w:rFonts w:hint="eastAsia" w:ascii="仿宋_GB2312" w:hAnsi="仿宋" w:eastAsia="仿宋_GB2312"/>
          <w:sz w:val="20"/>
          <w:szCs w:val="20"/>
        </w:rPr>
        <w:t>年</w:t>
      </w:r>
      <w:r>
        <w:rPr>
          <w:rFonts w:hint="eastAsia" w:ascii="仿宋_GB2312" w:hAnsi="仿宋" w:eastAsia="仿宋_GB2312"/>
          <w:sz w:val="20"/>
          <w:szCs w:val="20"/>
          <w:u w:val="single"/>
        </w:rPr>
        <w:t xml:space="preserve">    </w:t>
      </w:r>
      <w:r>
        <w:rPr>
          <w:rFonts w:hint="eastAsia" w:ascii="仿宋_GB2312" w:hAnsi="仿宋" w:eastAsia="仿宋_GB2312"/>
          <w:sz w:val="20"/>
          <w:szCs w:val="20"/>
        </w:rPr>
        <w:t>月</w:t>
      </w:r>
      <w:r>
        <w:rPr>
          <w:rFonts w:hint="eastAsia" w:ascii="仿宋_GB2312" w:hAnsi="仿宋" w:eastAsia="仿宋_GB2312"/>
          <w:sz w:val="20"/>
          <w:szCs w:val="20"/>
          <w:u w:val="single"/>
        </w:rPr>
        <w:t xml:space="preserve">   </w:t>
      </w:r>
      <w:r>
        <w:rPr>
          <w:rFonts w:hint="eastAsia" w:ascii="仿宋_GB2312" w:hAnsi="仿宋" w:eastAsia="仿宋_GB2312"/>
          <w:sz w:val="20"/>
          <w:szCs w:val="20"/>
        </w:rPr>
        <w:t>日</w:t>
      </w:r>
    </w:p>
    <w:tbl>
      <w:tblPr>
        <w:tblStyle w:val="4"/>
        <w:tblW w:w="0" w:type="auto"/>
        <w:jc w:val="center"/>
        <w:tblLayout w:type="fixed"/>
        <w:tblCellMar>
          <w:top w:w="0" w:type="dxa"/>
          <w:left w:w="108" w:type="dxa"/>
          <w:bottom w:w="0" w:type="dxa"/>
          <w:right w:w="108" w:type="dxa"/>
        </w:tblCellMar>
      </w:tblPr>
      <w:tblGrid>
        <w:gridCol w:w="4643"/>
        <w:gridCol w:w="4643"/>
      </w:tblGrid>
      <w:tr w14:paraId="782376B8">
        <w:tblPrEx>
          <w:tblCellMar>
            <w:top w:w="0" w:type="dxa"/>
            <w:left w:w="108" w:type="dxa"/>
            <w:bottom w:w="0" w:type="dxa"/>
            <w:right w:w="108" w:type="dxa"/>
          </w:tblCellMar>
        </w:tblPrEx>
        <w:trPr>
          <w:trHeight w:val="4315" w:hRule="atLeast"/>
          <w:jc w:val="center"/>
        </w:trPr>
        <w:tc>
          <w:tcPr>
            <w:tcW w:w="4643" w:type="dxa"/>
            <w:noWrap w:val="0"/>
            <w:vAlign w:val="top"/>
          </w:tcPr>
          <w:p w14:paraId="3814AD5A">
            <w:pPr>
              <w:spacing w:line="360" w:lineRule="auto"/>
              <w:rPr>
                <w:rFonts w:ascii="仿宋_GB2312" w:hAnsi="仿宋" w:eastAsia="仿宋_GB2312"/>
                <w:sz w:val="20"/>
                <w:szCs w:val="20"/>
              </w:rPr>
            </w:pPr>
          </w:p>
          <w:p w14:paraId="4ACEC7E4">
            <w:pPr>
              <w:spacing w:line="360" w:lineRule="auto"/>
              <w:rPr>
                <w:rFonts w:ascii="仿宋_GB2312" w:hAnsi="仿宋" w:eastAsia="仿宋_GB2312"/>
                <w:sz w:val="20"/>
                <w:szCs w:val="20"/>
              </w:rPr>
            </w:pPr>
            <w:r>
              <w:rPr>
                <w:rFonts w:hint="eastAsia" w:ascii="仿宋_GB2312" w:hAnsi="仿宋" w:eastAsia="仿宋_GB2312"/>
                <w:sz w:val="20"/>
                <w:szCs w:val="20"/>
              </w:rPr>
              <w:t>甲方名称（盖章）:</w:t>
            </w:r>
          </w:p>
          <w:p w14:paraId="65584A08">
            <w:pPr>
              <w:spacing w:line="360" w:lineRule="auto"/>
              <w:rPr>
                <w:rFonts w:ascii="仿宋_GB2312" w:hAnsi="仿宋" w:eastAsia="仿宋_GB2312"/>
                <w:sz w:val="20"/>
                <w:szCs w:val="20"/>
              </w:rPr>
            </w:pPr>
            <w:r>
              <w:rPr>
                <w:rFonts w:hint="eastAsia" w:ascii="仿宋_GB2312" w:hAnsi="仿宋" w:eastAsia="仿宋_GB2312"/>
                <w:sz w:val="20"/>
                <w:szCs w:val="20"/>
              </w:rPr>
              <w:t>地址：</w:t>
            </w:r>
          </w:p>
          <w:p w14:paraId="6BB46C32">
            <w:pPr>
              <w:spacing w:line="360" w:lineRule="auto"/>
              <w:rPr>
                <w:rFonts w:ascii="仿宋_GB2312" w:hAnsi="仿宋" w:eastAsia="仿宋_GB2312"/>
                <w:sz w:val="20"/>
                <w:szCs w:val="20"/>
              </w:rPr>
            </w:pPr>
            <w:r>
              <w:rPr>
                <w:rFonts w:hint="eastAsia" w:ascii="仿宋_GB2312" w:hAnsi="仿宋" w:eastAsia="仿宋_GB2312"/>
                <w:sz w:val="20"/>
                <w:szCs w:val="20"/>
              </w:rPr>
              <w:t>代表人（签字）：</w:t>
            </w:r>
          </w:p>
          <w:p w14:paraId="7E331C14">
            <w:pPr>
              <w:spacing w:line="360" w:lineRule="auto"/>
              <w:rPr>
                <w:rFonts w:ascii="仿宋_GB2312" w:hAnsi="仿宋" w:eastAsia="仿宋_GB2312"/>
                <w:sz w:val="20"/>
                <w:szCs w:val="20"/>
              </w:rPr>
            </w:pPr>
            <w:r>
              <w:rPr>
                <w:rFonts w:hint="eastAsia" w:ascii="仿宋_GB2312" w:hAnsi="仿宋" w:eastAsia="仿宋_GB2312"/>
                <w:sz w:val="20"/>
                <w:szCs w:val="20"/>
              </w:rPr>
              <w:t>电话：</w:t>
            </w:r>
          </w:p>
          <w:p w14:paraId="7E805E34">
            <w:pPr>
              <w:spacing w:line="360" w:lineRule="auto"/>
              <w:rPr>
                <w:rFonts w:ascii="仿宋_GB2312" w:hAnsi="仿宋" w:eastAsia="仿宋_GB2312"/>
                <w:sz w:val="20"/>
                <w:szCs w:val="20"/>
              </w:rPr>
            </w:pPr>
            <w:r>
              <w:rPr>
                <w:rFonts w:hint="eastAsia" w:ascii="仿宋_GB2312" w:hAnsi="仿宋" w:eastAsia="仿宋_GB2312"/>
                <w:sz w:val="20"/>
                <w:szCs w:val="20"/>
              </w:rPr>
              <w:t>开户银行：</w:t>
            </w:r>
          </w:p>
          <w:p w14:paraId="38DCA9A0">
            <w:pPr>
              <w:spacing w:line="360" w:lineRule="auto"/>
              <w:rPr>
                <w:rFonts w:ascii="仿宋_GB2312" w:hAnsi="仿宋" w:eastAsia="仿宋_GB2312"/>
                <w:sz w:val="20"/>
                <w:szCs w:val="20"/>
              </w:rPr>
            </w:pPr>
            <w:r>
              <w:rPr>
                <w:rFonts w:hint="eastAsia" w:ascii="仿宋_GB2312" w:hAnsi="仿宋" w:eastAsia="仿宋_GB2312"/>
                <w:sz w:val="20"/>
                <w:szCs w:val="20"/>
                <w:lang w:val="en-US" w:eastAsia="zh-CN"/>
              </w:rPr>
              <w:t>账</w:t>
            </w:r>
            <w:r>
              <w:rPr>
                <w:rFonts w:hint="eastAsia" w:ascii="仿宋_GB2312" w:hAnsi="仿宋" w:eastAsia="仿宋_GB2312"/>
                <w:sz w:val="20"/>
                <w:szCs w:val="20"/>
              </w:rPr>
              <w:t>号：</w:t>
            </w:r>
          </w:p>
        </w:tc>
        <w:tc>
          <w:tcPr>
            <w:tcW w:w="4643" w:type="dxa"/>
            <w:noWrap w:val="0"/>
            <w:vAlign w:val="top"/>
          </w:tcPr>
          <w:p w14:paraId="5FEE4FBE">
            <w:pPr>
              <w:spacing w:line="360" w:lineRule="auto"/>
              <w:rPr>
                <w:rFonts w:ascii="仿宋_GB2312" w:hAnsi="仿宋" w:eastAsia="仿宋_GB2312"/>
                <w:sz w:val="20"/>
                <w:szCs w:val="20"/>
              </w:rPr>
            </w:pPr>
          </w:p>
          <w:p w14:paraId="0C3D5A83">
            <w:pPr>
              <w:spacing w:line="360" w:lineRule="auto"/>
              <w:rPr>
                <w:rFonts w:ascii="仿宋_GB2312" w:hAnsi="仿宋" w:eastAsia="仿宋_GB2312"/>
                <w:sz w:val="20"/>
                <w:szCs w:val="20"/>
              </w:rPr>
            </w:pPr>
            <w:r>
              <w:rPr>
                <w:rFonts w:hint="eastAsia" w:ascii="仿宋_GB2312" w:hAnsi="仿宋" w:eastAsia="仿宋_GB2312"/>
                <w:sz w:val="20"/>
                <w:szCs w:val="20"/>
              </w:rPr>
              <w:t>乙方名称（盖章）:</w:t>
            </w:r>
          </w:p>
          <w:p w14:paraId="764DB112">
            <w:pPr>
              <w:spacing w:line="360" w:lineRule="auto"/>
              <w:rPr>
                <w:rFonts w:ascii="仿宋_GB2312" w:hAnsi="仿宋" w:eastAsia="仿宋_GB2312"/>
                <w:sz w:val="20"/>
                <w:szCs w:val="20"/>
              </w:rPr>
            </w:pPr>
            <w:r>
              <w:rPr>
                <w:rFonts w:hint="eastAsia" w:ascii="仿宋_GB2312" w:hAnsi="仿宋" w:eastAsia="仿宋_GB2312"/>
                <w:sz w:val="20"/>
                <w:szCs w:val="20"/>
              </w:rPr>
              <w:t>地址：</w:t>
            </w:r>
          </w:p>
          <w:p w14:paraId="704260A2">
            <w:pPr>
              <w:spacing w:line="360" w:lineRule="auto"/>
              <w:rPr>
                <w:rFonts w:ascii="仿宋_GB2312" w:hAnsi="仿宋" w:eastAsia="仿宋_GB2312"/>
                <w:sz w:val="20"/>
                <w:szCs w:val="20"/>
              </w:rPr>
            </w:pPr>
            <w:r>
              <w:rPr>
                <w:rFonts w:hint="eastAsia" w:ascii="仿宋_GB2312" w:hAnsi="仿宋" w:eastAsia="仿宋_GB2312"/>
                <w:sz w:val="20"/>
                <w:szCs w:val="20"/>
              </w:rPr>
              <w:t>代表人（签字）：</w:t>
            </w:r>
          </w:p>
          <w:p w14:paraId="75D46D08">
            <w:pPr>
              <w:spacing w:line="360" w:lineRule="auto"/>
              <w:rPr>
                <w:rFonts w:ascii="仿宋_GB2312" w:hAnsi="仿宋" w:eastAsia="仿宋_GB2312"/>
                <w:sz w:val="20"/>
                <w:szCs w:val="20"/>
              </w:rPr>
            </w:pPr>
            <w:r>
              <w:rPr>
                <w:rFonts w:hint="eastAsia" w:ascii="仿宋_GB2312" w:hAnsi="仿宋" w:eastAsia="仿宋_GB2312"/>
                <w:sz w:val="20"/>
                <w:szCs w:val="20"/>
              </w:rPr>
              <w:t>电话：</w:t>
            </w:r>
          </w:p>
          <w:p w14:paraId="2C76E599">
            <w:pPr>
              <w:spacing w:line="360" w:lineRule="auto"/>
              <w:rPr>
                <w:rFonts w:ascii="仿宋_GB2312" w:hAnsi="仿宋" w:eastAsia="仿宋_GB2312"/>
                <w:sz w:val="20"/>
                <w:szCs w:val="20"/>
              </w:rPr>
            </w:pPr>
            <w:r>
              <w:rPr>
                <w:rFonts w:hint="eastAsia" w:ascii="仿宋_GB2312" w:hAnsi="仿宋" w:eastAsia="仿宋_GB2312"/>
                <w:sz w:val="20"/>
                <w:szCs w:val="20"/>
              </w:rPr>
              <w:t>开户银行：</w:t>
            </w:r>
          </w:p>
          <w:p w14:paraId="7B3928F3">
            <w:pPr>
              <w:spacing w:line="360" w:lineRule="auto"/>
              <w:rPr>
                <w:rFonts w:hint="eastAsia" w:ascii="仿宋_GB2312" w:hAnsi="仿宋" w:eastAsia="仿宋_GB2312"/>
                <w:sz w:val="20"/>
                <w:szCs w:val="20"/>
              </w:rPr>
            </w:pPr>
            <w:r>
              <w:rPr>
                <w:rFonts w:hint="eastAsia" w:ascii="仿宋_GB2312" w:hAnsi="仿宋" w:eastAsia="仿宋_GB2312"/>
                <w:sz w:val="20"/>
                <w:szCs w:val="20"/>
                <w:lang w:val="en-US" w:eastAsia="zh-CN"/>
              </w:rPr>
              <w:t>账</w:t>
            </w:r>
            <w:r>
              <w:rPr>
                <w:rFonts w:hint="eastAsia" w:ascii="仿宋_GB2312" w:hAnsi="仿宋" w:eastAsia="仿宋_GB2312"/>
                <w:sz w:val="20"/>
                <w:szCs w:val="20"/>
              </w:rPr>
              <w:t>号：</w:t>
            </w:r>
          </w:p>
        </w:tc>
      </w:tr>
    </w:tbl>
    <w:p w14:paraId="37A86726">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C214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spacing w:line="720" w:lineRule="exact"/>
      <w:outlineLvl w:val="1"/>
    </w:pPr>
    <w:rPr>
      <w:rFonts w:ascii="黑体" w:hAnsi="Copperplate Gothic Bold" w:eastAsia="楷体_GB2312"/>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2025-12-22T10:48:17Z</dcterms:created>
  <dc:creator>Lenovo</dc:creator>
  <cp:lastModifiedBy>钟声</cp:lastModifiedBy>
  <dcterms:modified xsi:type="dcterms:W3CDTF">2025-12-22T10:48:20Z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eyJoZGlkIjoiOTJmM2Y3YjgzNWU3ZDc3NGZmYWVkNzQyNTc3YTk1YjQiLCJ1c2VySWQiOiI2Nzc2MzQ0MTQifQ==</vt:lpwstr>
  </property>
  <property fmtid="{D5CDD505-2E9C-101B-9397-08002B2CF9AE}" pid="4" name="ICV">
    <vt:lpwstr>DA7EB7B372DD4F078A9B6F66E7733A87_12</vt:lpwstr>
  </property>
</Properties>
</file>