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901339F">
      <w:pPr>
        <w:pStyle w:val="8"/>
        <w:numPr>
          <w:numId w:val="0"/>
        </w:numPr>
        <w:jc w:val="center"/>
        <w:outlineLvl w:val="1"/>
        <w:rPr>
          <w:rFonts w:hint="eastAsia" w:ascii="仿宋_GB2312" w:hAnsi="仿宋_GB2312" w:eastAsia="仿宋_GB2312" w:cs="仿宋_GB2312"/>
          <w:b/>
          <w:bCs/>
          <w:kern w:val="2"/>
          <w:sz w:val="20"/>
          <w:szCs w:val="20"/>
          <w:lang w:val="zh-CN"/>
        </w:rPr>
      </w:pPr>
      <w:r>
        <w:rPr>
          <w:rFonts w:ascii="仿宋_GB2312" w:hAnsi="仿宋_GB2312" w:eastAsia="仿宋_GB2312" w:cs="仿宋_GB2312"/>
          <w:b/>
          <w:sz w:val="36"/>
        </w:rPr>
        <w:t>拟签订采购合同文本</w:t>
      </w:r>
    </w:p>
    <w:p w14:paraId="2644D167">
      <w:pPr>
        <w:widowControl w:val="0"/>
        <w:tabs>
          <w:tab w:val="left" w:pos="735"/>
        </w:tabs>
        <w:autoSpaceDE w:val="0"/>
        <w:autoSpaceDN w:val="0"/>
        <w:adjustRightInd w:val="0"/>
        <w:snapToGrid w:val="0"/>
        <w:spacing w:before="420" w:beforeLines="100" w:line="360" w:lineRule="auto"/>
        <w:ind w:firstLine="629"/>
        <w:jc w:val="both"/>
        <w:rPr>
          <w:rFonts w:hint="eastAsia" w:ascii="仿宋_GB2312" w:hAnsi="仿宋_GB2312" w:eastAsia="仿宋_GB2312" w:cs="仿宋_GB2312"/>
          <w:b/>
          <w:bCs/>
          <w:kern w:val="2"/>
          <w:sz w:val="20"/>
          <w:szCs w:val="20"/>
          <w:lang w:val="zh-CN"/>
        </w:rPr>
      </w:pPr>
      <w:r>
        <w:rPr>
          <w:rFonts w:hint="eastAsia" w:ascii="仿宋_GB2312" w:hAnsi="仿宋_GB2312" w:eastAsia="仿宋_GB2312" w:cs="仿宋_GB2312"/>
          <w:b/>
          <w:bCs/>
          <w:kern w:val="2"/>
          <w:sz w:val="20"/>
          <w:szCs w:val="20"/>
          <w:lang w:val="zh-CN"/>
        </w:rPr>
        <w:t>甲方：</w:t>
      </w:r>
      <w:r>
        <w:rPr>
          <w:rFonts w:hint="eastAsia" w:ascii="仿宋_GB2312" w:hAnsi="仿宋_GB2312" w:eastAsia="仿宋_GB2312" w:cs="仿宋_GB2312"/>
          <w:bCs/>
          <w:kern w:val="2"/>
          <w:sz w:val="20"/>
          <w:szCs w:val="20"/>
          <w:lang w:val="zh-CN"/>
        </w:rPr>
        <w:t>（前款所称采购人）     住所：</w:t>
      </w:r>
    </w:p>
    <w:p w14:paraId="5D6E2BF9">
      <w:pPr>
        <w:widowControl w:val="0"/>
        <w:tabs>
          <w:tab w:val="left" w:pos="735"/>
        </w:tabs>
        <w:autoSpaceDE w:val="0"/>
        <w:autoSpaceDN w:val="0"/>
        <w:adjustRightInd w:val="0"/>
        <w:snapToGrid w:val="0"/>
        <w:spacing w:line="360" w:lineRule="auto"/>
        <w:ind w:firstLine="631"/>
        <w:jc w:val="both"/>
        <w:rPr>
          <w:rFonts w:hint="eastAsia" w:ascii="仿宋_GB2312" w:hAnsi="仿宋_GB2312" w:eastAsia="仿宋_GB2312" w:cs="仿宋_GB2312"/>
          <w:bCs/>
          <w:kern w:val="2"/>
          <w:sz w:val="20"/>
          <w:szCs w:val="20"/>
          <w:lang w:val="zh-CN"/>
        </w:rPr>
      </w:pPr>
      <w:r>
        <w:rPr>
          <w:rFonts w:hint="eastAsia" w:ascii="仿宋_GB2312" w:hAnsi="仿宋_GB2312" w:eastAsia="仿宋_GB2312" w:cs="仿宋_GB2312"/>
          <w:b/>
          <w:bCs/>
          <w:kern w:val="2"/>
          <w:sz w:val="20"/>
          <w:szCs w:val="20"/>
          <w:lang w:val="zh-CN"/>
        </w:rPr>
        <w:t>乙方：</w:t>
      </w:r>
      <w:r>
        <w:rPr>
          <w:rFonts w:hint="eastAsia" w:ascii="仿宋_GB2312" w:hAnsi="仿宋_GB2312" w:eastAsia="仿宋_GB2312" w:cs="仿宋_GB2312"/>
          <w:bCs/>
          <w:kern w:val="2"/>
          <w:sz w:val="20"/>
          <w:szCs w:val="20"/>
          <w:lang w:val="zh-CN"/>
        </w:rPr>
        <w:t>（前款所称中标人）     住所：</w:t>
      </w:r>
    </w:p>
    <w:p w14:paraId="64DAE3CE">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0" w:name="_Toc19515384"/>
      <w:r>
        <w:rPr>
          <w:rFonts w:hint="eastAsia" w:ascii="仿宋_GB2312" w:hAnsi="仿宋_GB2312" w:eastAsia="仿宋_GB2312" w:cs="仿宋_GB2312"/>
          <w:b/>
          <w:kern w:val="2"/>
          <w:sz w:val="20"/>
          <w:szCs w:val="20"/>
        </w:rPr>
        <w:t>一、合同内容（标的、数量、质量等）:</w:t>
      </w:r>
      <w:bookmarkEnd w:id="0"/>
    </w:p>
    <w:p w14:paraId="14CB26E8">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1" w:name="_Toc19515385"/>
      <w:r>
        <w:rPr>
          <w:rFonts w:hint="eastAsia" w:ascii="仿宋_GB2312" w:hAnsi="仿宋_GB2312" w:eastAsia="仿宋_GB2312" w:cs="仿宋_GB2312"/>
          <w:b/>
          <w:kern w:val="2"/>
          <w:sz w:val="20"/>
          <w:szCs w:val="20"/>
        </w:rPr>
        <w:t>二、合同价款</w:t>
      </w:r>
      <w:bookmarkEnd w:id="1"/>
    </w:p>
    <w:p w14:paraId="262BC85F">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1、合同总价：</w:t>
      </w:r>
    </w:p>
    <w:p w14:paraId="235ADE4D">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2、合同总价包括：完成本项目所需的一切费用。</w:t>
      </w:r>
    </w:p>
    <w:p w14:paraId="2E589921">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3、合同总价一次包死，不受市场价变化的影响。</w:t>
      </w:r>
    </w:p>
    <w:p w14:paraId="7A80684C">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2" w:name="_Toc19515386"/>
      <w:r>
        <w:rPr>
          <w:rFonts w:hint="eastAsia" w:ascii="仿宋_GB2312" w:hAnsi="仿宋_GB2312" w:eastAsia="仿宋_GB2312" w:cs="仿宋_GB2312"/>
          <w:b/>
          <w:kern w:val="2"/>
          <w:sz w:val="20"/>
          <w:szCs w:val="20"/>
        </w:rPr>
        <w:t>三、合同结算</w:t>
      </w:r>
      <w:bookmarkEnd w:id="2"/>
    </w:p>
    <w:p w14:paraId="15265AEC">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highlight w:val="none"/>
        </w:rPr>
      </w:pPr>
      <w:r>
        <w:rPr>
          <w:rFonts w:hint="eastAsia" w:ascii="仿宋_GB2312" w:hAnsi="仿宋_GB2312" w:eastAsia="仿宋_GB2312" w:cs="仿宋_GB2312"/>
          <w:kern w:val="2"/>
          <w:sz w:val="20"/>
          <w:szCs w:val="20"/>
          <w:highlight w:val="none"/>
        </w:rPr>
        <w:t>1、</w:t>
      </w:r>
      <w:bookmarkStart w:id="3" w:name="_Toc19515387"/>
      <w:r>
        <w:rPr>
          <w:rFonts w:hint="eastAsia" w:ascii="仿宋_GB2312" w:hAnsi="仿宋_GB2312" w:eastAsia="仿宋_GB2312" w:cs="仿宋_GB2312"/>
          <w:kern w:val="2"/>
          <w:sz w:val="20"/>
          <w:szCs w:val="20"/>
          <w:highlight w:val="none"/>
        </w:rPr>
        <w:t>资金支付条件及时间：按月结算，每月服务费结算完毕且待甲方确认后，甲方支付给乙方当月费用。</w:t>
      </w:r>
    </w:p>
    <w:p w14:paraId="0829D17F">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2、结算方式：银行转账。</w:t>
      </w:r>
    </w:p>
    <w:p w14:paraId="358E3010">
      <w:pPr>
        <w:widowControl w:val="0"/>
        <w:adjustRightInd w:val="0"/>
        <w:snapToGrid w:val="0"/>
        <w:spacing w:line="360" w:lineRule="auto"/>
        <w:ind w:firstLine="400" w:firstLineChars="200"/>
        <w:jc w:val="both"/>
        <w:rPr>
          <w:rFonts w:hint="eastAsia" w:ascii="仿宋_GB2312" w:hAnsi="仿宋_GB2312" w:eastAsia="仿宋_GB2312" w:cs="仿宋_GB2312"/>
          <w:sz w:val="20"/>
          <w:szCs w:val="20"/>
        </w:rPr>
      </w:pPr>
      <w:r>
        <w:rPr>
          <w:rFonts w:hint="eastAsia" w:ascii="仿宋_GB2312" w:hAnsi="仿宋_GB2312" w:eastAsia="仿宋_GB2312" w:cs="仿宋_GB2312"/>
          <w:kern w:val="2"/>
          <w:sz w:val="20"/>
          <w:szCs w:val="20"/>
        </w:rPr>
        <w:t>3、结算单位：由甲方负责结算，乙方应开具结算金额等额发票交甲方。</w:t>
      </w:r>
    </w:p>
    <w:p w14:paraId="094DD462">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四、履行期限、地点及方式</w:t>
      </w:r>
      <w:bookmarkEnd w:id="3"/>
    </w:p>
    <w:p w14:paraId="6AD96221">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1、履行期限：一年</w:t>
      </w:r>
    </w:p>
    <w:p w14:paraId="55FB1326">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2、地点：按照采购人要求</w:t>
      </w:r>
    </w:p>
    <w:p w14:paraId="5EE037E1">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3、方式：按照采购人要求</w:t>
      </w:r>
    </w:p>
    <w:p w14:paraId="18F01EE0">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五、验收</w:t>
      </w:r>
    </w:p>
    <w:p w14:paraId="0F85C07E">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1、验收依据：</w:t>
      </w:r>
    </w:p>
    <w:p w14:paraId="6B4C16EF">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1-1、合同文本、合同附件、招标文件、投标文件。</w:t>
      </w:r>
    </w:p>
    <w:p w14:paraId="77C33338">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1-2、国内相应的标准、规范。</w:t>
      </w:r>
    </w:p>
    <w:p w14:paraId="20CAF4B6">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4" w:name="_Toc19515393"/>
      <w:r>
        <w:rPr>
          <w:rFonts w:hint="eastAsia" w:ascii="仿宋_GB2312" w:hAnsi="仿宋_GB2312" w:eastAsia="仿宋_GB2312" w:cs="仿宋_GB2312"/>
          <w:b/>
          <w:kern w:val="2"/>
          <w:sz w:val="20"/>
          <w:szCs w:val="20"/>
        </w:rPr>
        <w:t>六、甲方的权利和义务</w:t>
      </w:r>
    </w:p>
    <w:p w14:paraId="6BCB18E1">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1、甲方有权督促乙方完成合同中协议的所有工作内容及其工作进度。</w:t>
      </w:r>
    </w:p>
    <w:p w14:paraId="48F3E806">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2、甲方应主动提供有利于项目顺利执行实施的相关资源及便利。</w:t>
      </w:r>
    </w:p>
    <w:p w14:paraId="6BD90CA6">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3、甲方有权向乙方提出整改建议和意见。</w:t>
      </w:r>
    </w:p>
    <w:p w14:paraId="5D438340">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4、甲方负责监督、检查乙方提供服务的工作进度、质量情况。</w:t>
      </w:r>
    </w:p>
    <w:p w14:paraId="3C620A20">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七、乙方的权利和义务</w:t>
      </w:r>
    </w:p>
    <w:p w14:paraId="587AB9F0">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1、对本合同规定的委托范围内的项目享有管理权及服务义务。</w:t>
      </w:r>
    </w:p>
    <w:p w14:paraId="7E0F7A8C">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2、根据本合同的规定向甲方收取相关服务费用，并有权在本项目管理范围内管理及合理使用。</w:t>
      </w:r>
    </w:p>
    <w:p w14:paraId="4EB26502">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3、及时向甲方通告本项目执行范围内有关的重大事项，及时配合处理投诉。</w:t>
      </w:r>
    </w:p>
    <w:p w14:paraId="4AE8E2BE">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4、接受项目行业管理部门及政府有关部门的指导，接受甲方的监督。</w:t>
      </w:r>
    </w:p>
    <w:p w14:paraId="496AE89E">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5、国家法律、法规所规定由乙方承担的其它责任。</w:t>
      </w:r>
    </w:p>
    <w:p w14:paraId="6BE55CC7">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八、违约责任</w:t>
      </w:r>
    </w:p>
    <w:p w14:paraId="305132CE">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1、违约责任按《中华人民共和国民法典》处理中的相关条款执行。</w:t>
      </w:r>
    </w:p>
    <w:bookmarkEnd w:id="4"/>
    <w:p w14:paraId="2A6BCE80">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乙方应按合同约定时间完成各阶段合同义务，若发生延迟或服务质量未达标，甲方有权扣除合同总价款1%至20%的违约金，且甲方有权单方解除本合同。乙方未按照合同要求的任务完成任一项，甲方有权要求乙方承担该项违约责任，违约责任以合同总金额的10%计算。但甲方书面同意延迟或因甲方原因导致延迟的，乙方不承担违约责任。</w:t>
      </w:r>
    </w:p>
    <w:p w14:paraId="10E67379">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3、若乙方未能按照甲方提出的整改建议和意见及时进行修正服务方案，按违约处理，甲方有权扣除合同总价款1%至20%的违约金，且甲方有权单方解除本合同。</w:t>
      </w:r>
    </w:p>
    <w:p w14:paraId="6B82C416">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4、如甲方未能在本合同约定时间内支付款项，每延迟一天，甲方须向乙方承担迟延支付费用的0.5‰作为违约金，并将服务周期予以相应顺延。</w:t>
      </w:r>
    </w:p>
    <w:p w14:paraId="6F5C38ED">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5、若乙方未经甲方同意泄露本合同约定的任何秘密信息的，乙方应按照合同总价款的10%向甲方支付违约金，并赔偿因此给甲方造成的损失。</w:t>
      </w:r>
    </w:p>
    <w:p w14:paraId="0B3D4CB1">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6、乙方保证向甲方开具发票的真实性、合法性，若乙方向甲方开具的发票存在真实性、合法性问题，给甲方造成损失的，乙方应按合同总价款的10%向甲方支付违约金，违约金不足以弥补损失的，乙方还应承担相应赔偿责任。</w:t>
      </w:r>
    </w:p>
    <w:p w14:paraId="68B19B5F">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九、不可抗力事件处理</w:t>
      </w:r>
    </w:p>
    <w:p w14:paraId="661614A2">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因不可抗力造成违约的，遭受不可抗力一方应及时向对方通报不能履行或不能完全履行的理由，并在随后取得有关权威机构出具的证明后的15日内向另一方提供不可抗力发生以及持续期间的充分证据。基本于以上行为，允许遭受不可抗力一方延期履行、部分履行或者不履行合同，并根据情况可部分或全部免于承担违约责任。</w:t>
      </w:r>
    </w:p>
    <w:p w14:paraId="3272B099">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2、本合同中的不可抗力指不能预见、不能避免并不能克服的客观情况。包括但不限于：自然灾害如地震、台风、洪水、火灾；政府行为、法律规定或其适用的变化或者其他任何无法预见、避免或者控制的事件。</w:t>
      </w:r>
    </w:p>
    <w:p w14:paraId="45399DC9">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r>
        <w:rPr>
          <w:rFonts w:hint="eastAsia" w:ascii="仿宋_GB2312" w:hAnsi="仿宋_GB2312" w:eastAsia="仿宋_GB2312" w:cs="仿宋_GB2312"/>
          <w:b/>
          <w:kern w:val="2"/>
          <w:sz w:val="20"/>
          <w:szCs w:val="20"/>
        </w:rPr>
        <w:t>十、合同组成</w:t>
      </w:r>
    </w:p>
    <w:p w14:paraId="2341ACCF">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1、中标通知书</w:t>
      </w:r>
    </w:p>
    <w:p w14:paraId="33C95A50">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2、合同文件</w:t>
      </w:r>
    </w:p>
    <w:p w14:paraId="661EEAA8">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3、国家相关规范及标准</w:t>
      </w:r>
    </w:p>
    <w:p w14:paraId="35E46F1C">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4、招标文件</w:t>
      </w:r>
    </w:p>
    <w:p w14:paraId="4B6F9A04">
      <w:pPr>
        <w:widowControl w:val="0"/>
        <w:adjustRightInd w:val="0"/>
        <w:snapToGrid w:val="0"/>
        <w:spacing w:line="360" w:lineRule="auto"/>
        <w:ind w:firstLine="400" w:firstLineChars="200"/>
        <w:jc w:val="both"/>
        <w:rPr>
          <w:rFonts w:hint="eastAsia" w:ascii="仿宋_GB2312" w:hAnsi="仿宋_GB2312" w:eastAsia="仿宋_GB2312" w:cs="仿宋_GB2312"/>
          <w:kern w:val="2"/>
          <w:sz w:val="20"/>
          <w:szCs w:val="20"/>
        </w:rPr>
      </w:pPr>
      <w:r>
        <w:rPr>
          <w:rFonts w:hint="eastAsia" w:ascii="仿宋_GB2312" w:hAnsi="仿宋_GB2312" w:eastAsia="仿宋_GB2312" w:cs="仿宋_GB2312"/>
          <w:kern w:val="2"/>
          <w:sz w:val="20"/>
          <w:szCs w:val="20"/>
        </w:rPr>
        <w:t>5、投标文件</w:t>
      </w:r>
    </w:p>
    <w:p w14:paraId="05C24826">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5" w:name="_Toc19515394"/>
      <w:r>
        <w:rPr>
          <w:rFonts w:hint="eastAsia" w:ascii="仿宋_GB2312" w:hAnsi="仿宋_GB2312" w:eastAsia="仿宋_GB2312" w:cs="仿宋_GB2312"/>
          <w:b/>
          <w:kern w:val="2"/>
          <w:sz w:val="20"/>
          <w:szCs w:val="20"/>
        </w:rPr>
        <w:t>十一、解决争议的方法</w:t>
      </w:r>
      <w:bookmarkEnd w:id="5"/>
    </w:p>
    <w:p w14:paraId="2AC041F6">
      <w:pPr>
        <w:autoSpaceDE w:val="0"/>
        <w:autoSpaceDN w:val="0"/>
        <w:snapToGrid w:val="0"/>
        <w:spacing w:line="360" w:lineRule="auto"/>
        <w:ind w:right="-110" w:firstLine="400" w:firstLineChars="200"/>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凡因本合同引起的或与本合同有关的争议，双方应友好协商解决。协商不成时，甲、乙双方均同意向甲方所在地人民法院提起诉讼解决。</w:t>
      </w:r>
    </w:p>
    <w:p w14:paraId="1D558634">
      <w:pPr>
        <w:widowControl w:val="0"/>
        <w:adjustRightInd w:val="0"/>
        <w:snapToGrid w:val="0"/>
        <w:spacing w:line="360" w:lineRule="auto"/>
        <w:ind w:firstLine="402" w:firstLineChars="200"/>
        <w:jc w:val="both"/>
        <w:rPr>
          <w:rFonts w:hint="eastAsia" w:ascii="仿宋_GB2312" w:hAnsi="仿宋_GB2312" w:eastAsia="仿宋_GB2312" w:cs="仿宋_GB2312"/>
          <w:b/>
          <w:kern w:val="2"/>
          <w:sz w:val="20"/>
          <w:szCs w:val="20"/>
        </w:rPr>
      </w:pPr>
      <w:bookmarkStart w:id="6" w:name="_Toc19515395"/>
      <w:r>
        <w:rPr>
          <w:rFonts w:hint="eastAsia" w:ascii="仿宋_GB2312" w:hAnsi="仿宋_GB2312" w:eastAsia="仿宋_GB2312" w:cs="仿宋_GB2312"/>
          <w:b/>
          <w:kern w:val="2"/>
          <w:sz w:val="20"/>
          <w:szCs w:val="20"/>
        </w:rPr>
        <w:t>十二、合同生效及其它</w:t>
      </w:r>
      <w:bookmarkEnd w:id="6"/>
    </w:p>
    <w:p w14:paraId="029346D7">
      <w:pPr>
        <w:autoSpaceDE w:val="0"/>
        <w:autoSpaceDN w:val="0"/>
        <w:snapToGrid w:val="0"/>
        <w:spacing w:line="360" w:lineRule="auto"/>
        <w:ind w:right="-110" w:firstLine="400" w:firstLineChars="200"/>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1、合同未尽事宜、由甲、乙双方协商，作为合同补充，与原合同具有同等法律效力。</w:t>
      </w:r>
    </w:p>
    <w:p w14:paraId="5861141E">
      <w:pPr>
        <w:tabs>
          <w:tab w:val="left" w:pos="8391"/>
        </w:tabs>
        <w:autoSpaceDE w:val="0"/>
        <w:autoSpaceDN w:val="0"/>
        <w:snapToGrid w:val="0"/>
        <w:spacing w:line="360" w:lineRule="auto"/>
        <w:ind w:right="-69" w:firstLine="400" w:firstLineChars="200"/>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2、 本合同一式</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份，甲方、乙方双方分别执</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份，</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备案</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份。</w:t>
      </w:r>
    </w:p>
    <w:p w14:paraId="14CD2DCF">
      <w:pPr>
        <w:tabs>
          <w:tab w:val="left" w:pos="8391"/>
        </w:tabs>
        <w:autoSpaceDE w:val="0"/>
        <w:autoSpaceDN w:val="0"/>
        <w:snapToGrid w:val="0"/>
        <w:spacing w:line="360" w:lineRule="auto"/>
        <w:ind w:right="-69" w:firstLine="400" w:firstLineChars="200"/>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3、合同经甲乙双方盖章、签字后生效，合同签订地点为</w:t>
      </w:r>
      <w:r>
        <w:rPr>
          <w:rFonts w:hint="eastAsia" w:ascii="仿宋_GB2312" w:hAnsi="仿宋_GB2312" w:eastAsia="仿宋_GB2312" w:cs="仿宋_GB2312"/>
          <w:sz w:val="20"/>
          <w:szCs w:val="20"/>
          <w:u w:val="single"/>
        </w:rPr>
        <w:t xml:space="preserve">   </w:t>
      </w:r>
      <w:r>
        <w:rPr>
          <w:rFonts w:hint="eastAsia" w:ascii="仿宋_GB2312" w:hAnsi="仿宋_GB2312" w:eastAsia="仿宋_GB2312" w:cs="仿宋_GB2312"/>
          <w:sz w:val="20"/>
          <w:szCs w:val="20"/>
        </w:rPr>
        <w:t>。</w:t>
      </w:r>
    </w:p>
    <w:p w14:paraId="10D899A5">
      <w:pPr>
        <w:tabs>
          <w:tab w:val="left" w:pos="8391"/>
        </w:tabs>
        <w:autoSpaceDE w:val="0"/>
        <w:autoSpaceDN w:val="0"/>
        <w:snapToGrid w:val="0"/>
        <w:spacing w:line="360" w:lineRule="auto"/>
        <w:ind w:right="-69" w:firstLine="400" w:firstLineChars="200"/>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4、生效时间：   年  月  日</w:t>
      </w:r>
    </w:p>
    <w:tbl>
      <w:tblPr>
        <w:tblStyle w:val="5"/>
        <w:tblpPr w:leftFromText="180" w:rightFromText="180" w:vertAnchor="text" w:horzAnchor="page" w:tblpX="1908" w:tblpY="454"/>
        <w:tblOverlap w:val="never"/>
        <w:tblW w:w="0" w:type="auto"/>
        <w:tblInd w:w="0" w:type="dxa"/>
        <w:tblLayout w:type="fixed"/>
        <w:tblCellMar>
          <w:top w:w="0" w:type="dxa"/>
          <w:left w:w="108" w:type="dxa"/>
          <w:bottom w:w="0" w:type="dxa"/>
          <w:right w:w="108" w:type="dxa"/>
        </w:tblCellMar>
      </w:tblPr>
      <w:tblGrid>
        <w:gridCol w:w="4643"/>
        <w:gridCol w:w="4643"/>
      </w:tblGrid>
      <w:tr w14:paraId="7BDA0576">
        <w:tblPrEx>
          <w:tblCellMar>
            <w:top w:w="0" w:type="dxa"/>
            <w:left w:w="108" w:type="dxa"/>
            <w:bottom w:w="0" w:type="dxa"/>
            <w:right w:w="108" w:type="dxa"/>
          </w:tblCellMar>
        </w:tblPrEx>
        <w:tc>
          <w:tcPr>
            <w:tcW w:w="4643" w:type="dxa"/>
          </w:tcPr>
          <w:p w14:paraId="591FB3CB">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甲方名称</w:t>
            </w:r>
            <w:r>
              <w:rPr>
                <w:rFonts w:hint="eastAsia" w:ascii="仿宋_GB2312" w:hAnsi="仿宋_GB2312" w:eastAsia="仿宋_GB2312" w:cs="仿宋_GB2312"/>
                <w:spacing w:val="-20"/>
                <w:sz w:val="20"/>
                <w:szCs w:val="20"/>
              </w:rPr>
              <w:t>（盖章）</w:t>
            </w:r>
            <w:r>
              <w:rPr>
                <w:rFonts w:hint="eastAsia" w:ascii="仿宋_GB2312" w:hAnsi="仿宋_GB2312" w:eastAsia="仿宋_GB2312" w:cs="仿宋_GB2312"/>
                <w:sz w:val="20"/>
                <w:szCs w:val="20"/>
              </w:rPr>
              <w:t>:</w:t>
            </w:r>
          </w:p>
          <w:p w14:paraId="71F34CB4">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地址：</w:t>
            </w:r>
          </w:p>
          <w:p w14:paraId="7C0C7914">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代表人（签字）：</w:t>
            </w:r>
          </w:p>
          <w:p w14:paraId="2D3490B5">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电话：</w:t>
            </w:r>
          </w:p>
          <w:p w14:paraId="53705478">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开户银行：</w:t>
            </w:r>
          </w:p>
          <w:p w14:paraId="3C627D72">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帐号：</w:t>
            </w:r>
          </w:p>
        </w:tc>
        <w:tc>
          <w:tcPr>
            <w:tcW w:w="4643" w:type="dxa"/>
          </w:tcPr>
          <w:p w14:paraId="32919ADD">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乙方名称</w:t>
            </w:r>
            <w:r>
              <w:rPr>
                <w:rFonts w:hint="eastAsia" w:ascii="仿宋_GB2312" w:hAnsi="仿宋_GB2312" w:eastAsia="仿宋_GB2312" w:cs="仿宋_GB2312"/>
                <w:spacing w:val="-20"/>
                <w:sz w:val="20"/>
                <w:szCs w:val="20"/>
              </w:rPr>
              <w:t>（盖章）</w:t>
            </w:r>
            <w:r>
              <w:rPr>
                <w:rFonts w:hint="eastAsia" w:ascii="仿宋_GB2312" w:hAnsi="仿宋_GB2312" w:eastAsia="仿宋_GB2312" w:cs="仿宋_GB2312"/>
                <w:sz w:val="20"/>
                <w:szCs w:val="20"/>
              </w:rPr>
              <w:t>:</w:t>
            </w:r>
          </w:p>
          <w:p w14:paraId="4FA33E5C">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地址：</w:t>
            </w:r>
          </w:p>
          <w:p w14:paraId="63D0426A">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代表人（签字）：</w:t>
            </w:r>
          </w:p>
          <w:p w14:paraId="583F8DA3">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电话：</w:t>
            </w:r>
          </w:p>
          <w:p w14:paraId="7F7EFBFA">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开户银行：</w:t>
            </w:r>
          </w:p>
          <w:p w14:paraId="4CBD812A">
            <w:pPr>
              <w:autoSpaceDE w:val="0"/>
              <w:autoSpaceDN w:val="0"/>
              <w:snapToGrid w:val="0"/>
              <w:spacing w:line="360" w:lineRule="auto"/>
              <w:ind w:right="-154"/>
              <w:jc w:val="both"/>
              <w:textAlignment w:val="bottom"/>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t>帐号：</w:t>
            </w:r>
          </w:p>
        </w:tc>
      </w:tr>
    </w:tbl>
    <w:p w14:paraId="57F99562">
      <w:pPr>
        <w:tabs>
          <w:tab w:val="left" w:pos="8391"/>
        </w:tabs>
        <w:autoSpaceDE w:val="0"/>
        <w:autoSpaceDN w:val="0"/>
        <w:snapToGrid w:val="0"/>
        <w:spacing w:line="360" w:lineRule="auto"/>
        <w:ind w:right="-69" w:firstLine="400" w:firstLineChars="200"/>
        <w:jc w:val="both"/>
        <w:textAlignment w:val="bottom"/>
        <w:rPr>
          <w:rFonts w:hint="eastAsia" w:ascii="仿宋_GB2312" w:hAnsi="仿宋_GB2312" w:eastAsia="仿宋_GB2312" w:cs="仿宋_GB2312"/>
          <w:sz w:val="20"/>
          <w:szCs w:val="20"/>
        </w:rPr>
      </w:pPr>
    </w:p>
    <w:p w14:paraId="52C2498E">
      <w:pPr>
        <w:pStyle w:val="2"/>
        <w:tabs>
          <w:tab w:val="left" w:pos="567"/>
        </w:tabs>
        <w:rPr>
          <w:rFonts w:hint="eastAsia" w:ascii="仿宋_GB2312" w:hAnsi="仿宋_GB2312" w:eastAsia="仿宋_GB2312" w:cs="仿宋_GB2312"/>
          <w:sz w:val="20"/>
          <w:szCs w:val="20"/>
        </w:rPr>
      </w:pPr>
      <w:r>
        <w:rPr>
          <w:rFonts w:hint="eastAsia" w:ascii="仿宋_GB2312" w:hAnsi="仿宋_GB2312" w:eastAsia="仿宋_GB2312" w:cs="仿宋_GB2312"/>
          <w:sz w:val="20"/>
          <w:szCs w:val="20"/>
        </w:rPr>
        <w:br w:type="page"/>
      </w:r>
    </w:p>
    <w:p w14:paraId="32A81352">
      <w:bookmarkStart w:id="7" w:name="_GoBack"/>
      <w:bookmarkEnd w:id="7"/>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B8A790B">
    <w:pPr>
      <w:pStyle w:val="4"/>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26A2EFF"/>
    <w:rsid w:val="32A63707"/>
    <w:rsid w:val="32E12CEE"/>
    <w:rsid w:val="36AA2740"/>
    <w:rsid w:val="532E3118"/>
    <w:rsid w:val="72C9287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next w:val="1"/>
    <w:unhideWhenUsed/>
    <w:qFormat/>
    <w:uiPriority w:val="99"/>
    <w:pPr>
      <w:spacing w:after="120"/>
    </w:pPr>
  </w:style>
  <w:style w:type="paragraph" w:styleId="3">
    <w:name w:val="footer"/>
    <w:basedOn w:val="1"/>
    <w:qFormat/>
    <w:uiPriority w:val="99"/>
    <w:pPr>
      <w:tabs>
        <w:tab w:val="center" w:pos="4153"/>
        <w:tab w:val="right" w:pos="8306"/>
      </w:tabs>
      <w:autoSpaceDE w:val="0"/>
      <w:autoSpaceDN w:val="0"/>
      <w:adjustRightInd w:val="0"/>
      <w:snapToGrid w:val="0"/>
      <w:jc w:val="left"/>
    </w:pPr>
    <w:rPr>
      <w:rFonts w:ascii="宋体"/>
      <w:kern w:val="0"/>
      <w:sz w:val="18"/>
      <w:szCs w:val="20"/>
    </w:rPr>
  </w:style>
  <w:style w:type="paragraph" w:styleId="4">
    <w:name w:val="header"/>
    <w:basedOn w:val="1"/>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font31"/>
    <w:basedOn w:val="6"/>
    <w:qFormat/>
    <w:uiPriority w:val="0"/>
    <w:rPr>
      <w:rFonts w:hint="default" w:ascii="Times New Roman" w:hAnsi="Times New Roman" w:cs="Times New Roman"/>
      <w:color w:val="000000"/>
      <w:sz w:val="21"/>
      <w:szCs w:val="21"/>
      <w:u w:val="none"/>
      <w:vertAlign w:val="superscript"/>
    </w:rPr>
  </w:style>
  <w:style w:type="paragraph" w:customStyle="1" w:styleId="8">
    <w:name w:val="null3"/>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2265</Words>
  <Characters>2412</Characters>
  <Lines>0</Lines>
  <Paragraphs>0</Paragraphs>
  <TotalTime>0</TotalTime>
  <ScaleCrop>false</ScaleCrop>
  <LinksUpToDate>false</LinksUpToDate>
  <CharactersWithSpaces>2651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2025-08-12T01:28:00Z</dcterms:created>
  <dc:creator>Administrator</dc:creator>
  <cp:lastModifiedBy>jillian</cp:lastModifiedBy>
  <dcterms:modified xsi:type="dcterms:W3CDTF">2025-12-08T04:07:56Z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eyJoZGlkIjoiOWNkODk0Yzk4YThhZTUxYjE4YjI3ZGQ1ZWZmMWIzMGUiLCJ1c2VySWQiOiI0MjM4MzIyNzIifQ==</vt:lpwstr>
  </property>
  <property fmtid="{D5CDD505-2E9C-101B-9397-08002B2CF9AE}" pid="4" name="ICV">
    <vt:lpwstr>E334D33B05BD4845B17601D590347071_12</vt:lpwstr>
  </property>
</Properties>
</file>