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版本号：SCZE2025-CS-3327-00120251211001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曲江第三小学东侧综合楼项目清表工程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SCZE2025-CS-3327-001</w:t>
      </w:r>
      <w:r>
        <w:br/>
      </w:r>
      <w:r>
        <w:br/>
      </w:r>
      <w:r>
        <w:br/>
      </w:r>
    </w:p>
    <w:p>
      <w:pPr>
        <w:pStyle w:val="null3"/>
        <w:jc w:val="center"/>
        <w:outlineLvl w:val="2"/>
      </w:pPr>
      <w:r>
        <w:rPr>
          <w:rFonts w:ascii="仿宋_GB2312" w:hAnsi="仿宋_GB2312" w:cs="仿宋_GB2312" w:eastAsia="仿宋_GB2312"/>
          <w:sz w:val="28"/>
          <w:b/>
        </w:rPr>
        <w:t>西安曲江新区教育卫生管理发展中心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西安曲江新区教育卫生管理发展中心</w:t>
      </w:r>
      <w:r>
        <w:rPr>
          <w:rFonts w:ascii="仿宋_GB2312" w:hAnsi="仿宋_GB2312" w:cs="仿宋_GB2312" w:eastAsia="仿宋_GB2312"/>
        </w:rPr>
        <w:t>委托，拟对</w:t>
      </w:r>
      <w:r>
        <w:rPr>
          <w:rFonts w:ascii="仿宋_GB2312" w:hAnsi="仿宋_GB2312" w:cs="仿宋_GB2312" w:eastAsia="仿宋_GB2312"/>
        </w:rPr>
        <w:t>曲江第三小学东侧综合楼项目清表工程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SCZE2025-CS-3327-001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曲江第三小学东侧综合楼项目清表工程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曲江第三小学东侧综合楼项目位于公田三路以东，春临五路以南，航天大道以北，公田四路以西。建设内容为综合楼、门卫室、运动场地、地下车库、室外配套工程等。规划用地面积约7.14亩，建筑面积约5967.62平方米。本次采购为曲江第三小学东侧综合楼项目实施清表及垃圾清运，以满足后续作业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采购包1（曲江第三小学东侧综合楼项目清表工程）：属于专门面向中小企业采购。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供应商须具备建设行政主管部门颁发的建筑工程施工总承包三级及以上资质且具备有效的安全生产许可证，并在人员、设备、资金等方面具备相应的施工能力。（供应商需提供资质证书扫描件）</w:t>
      </w:r>
    </w:p>
    <w:p>
      <w:pPr>
        <w:pStyle w:val="null3"/>
      </w:pPr>
      <w:r>
        <w:rPr>
          <w:rFonts w:ascii="仿宋_GB2312" w:hAnsi="仿宋_GB2312" w:cs="仿宋_GB2312" w:eastAsia="仿宋_GB2312"/>
        </w:rPr>
        <w:t>2、拟派项目负责人：供应商拟派项目负责人须具备建筑工程专业二级及以上注册建造师执业资格和有效的安全生产考核合格证书(建安B证)，在本单位注册且未担任其他在建工程项目的项目负责人。（供应商需提供建造师证书及安全生产考核合格B证扫描件及无在建承诺书）</w:t>
      </w:r>
    </w:p>
    <w:p>
      <w:pPr>
        <w:pStyle w:val="null3"/>
      </w:pPr>
      <w:r>
        <w:rPr>
          <w:rFonts w:ascii="仿宋_GB2312" w:hAnsi="仿宋_GB2312" w:cs="仿宋_GB2312" w:eastAsia="仿宋_GB2312"/>
        </w:rPr>
        <w:t>3、信用查询：供应商在递交响应文件截止时间前被“信用中国”网站（www.creditchina.gov.cn）和中国政府采购网（www.ccgp.gov.cn）上被列入失信被执行人、重大税收违法失信主体、政府采购严重违法失信行为记录名单的，不得参加本项目磋商。（以采购代理机构于递交投标文件截止时间当天进行资格审查时在“信用中国”网站及中国政府采购网查询结果为准）。</w:t>
      </w:r>
    </w:p>
    <w:p>
      <w:pPr>
        <w:pStyle w:val="null3"/>
      </w:pPr>
      <w:r>
        <w:rPr>
          <w:rFonts w:ascii="仿宋_GB2312" w:hAnsi="仿宋_GB2312" w:cs="仿宋_GB2312" w:eastAsia="仿宋_GB2312"/>
        </w:rPr>
        <w:t>4、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填写《资格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西安曲江新区教育卫生管理发展中心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曲江新区杜陵邑南路6号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李博强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15398068609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西安市高新区唐延南路都市之门C座9层招标五部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关微、马超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采购包1：1,879,829.21元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代理服务费收费标准：参照《国家计委关于印发&lt;招标代理服务收费管理暂行办法&gt;的通知》（计价格[2002]1980号）规定标准按标段收取，代理服务费低于 8000.00 元的，按 8000.00元收取。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西安曲江新区教育卫生管理发展中心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西安曲江新区教育卫生管理发展中心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西安曲江新区教育卫生管理发展中心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地址：西安市高新区唐延南路都市之门C座9层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1,879,829.21</w:t>
      </w:r>
    </w:p>
    <w:p>
      <w:pPr>
        <w:pStyle w:val="null3"/>
      </w:pPr>
      <w:r>
        <w:rPr>
          <w:rFonts w:ascii="仿宋_GB2312" w:hAnsi="仿宋_GB2312" w:cs="仿宋_GB2312" w:eastAsia="仿宋_GB2312"/>
        </w:rPr>
        <w:t>采购包最高限价（元）: 1,879,829.21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曲江第三小学东侧综合楼项目清表工程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1,879,829.21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标的名称：曲江第三小学东侧综合楼项目清表工程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1）项目概况：曲江第三小学东侧综合楼项目位于公田三路以东，春临五路以南，航天大道以北，公田四路以西。建设内容为综合楼、门卫室、运动场地、地下车库、室外配套工程等。规划用地面积约7.14亩，建筑面积约5967.62平方米。本次采购为曲江第三小学东侧综合楼项目实施清表及垃圾清运，以满足后续作业需求。</w:t>
            </w:r>
          </w:p>
          <w:p>
            <w:pPr>
              <w:pStyle w:val="null3"/>
            </w:pPr>
            <w:r>
              <w:rPr>
                <w:rFonts w:ascii="仿宋_GB2312" w:hAnsi="仿宋_GB2312" w:cs="仿宋_GB2312" w:eastAsia="仿宋_GB2312"/>
                <w:sz w:val="18"/>
              </w:rPr>
              <w:t>（2）工期：自合同签订之日起15日历天。</w:t>
            </w:r>
          </w:p>
          <w:p>
            <w:pPr>
              <w:pStyle w:val="null3"/>
            </w:pPr>
            <w:r>
              <w:rPr>
                <w:rFonts w:ascii="仿宋_GB2312" w:hAnsi="仿宋_GB2312" w:cs="仿宋_GB2312" w:eastAsia="仿宋_GB2312"/>
                <w:sz w:val="18"/>
              </w:rPr>
              <w:t>（3）质量要求：合格</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华人民共和国建筑法》、《中华人民共和国民法典》、《中华人民共和国招标投标法》、国务院《建设工程质量管理条例》、国务院《建设工程安全生产管理条例》、建设部《房屋建筑工程和市政基础设施工程竣工验收暂行规定》、建设部《房屋建筑工程质量保修办法》等法律、行政法规及地方性法规,施工达到国家现行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严格按照国家颁发的施工验收规范及工程设计图纸要求进行施工，工程质量应达到国家或专业质量检验评定标准的合格条件。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工期：自合同签订之日起15日历天。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供应商需在项目电子化交易系统中按要求填写《资格证明文件》并进行电子签章。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表（包含赋码的审计报告和审计报告中所涉及的财务报表和报表附注),②可提供本年度基本开户银行出具的资信证明。）供应商需在项目电子化交易系统中按要求填写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供应商须具备建设行政主管部门颁发的建筑工程施工总承包三级及以上资质且具备有效的安全生产许可证，并在人员、设备、资金等方面具备相应的施工能力。（供应商需提供资质证书扫描件）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供应商拟派项目负责人须具备建筑工程专业二级及以上注册建造师执业资格和有效的安全生产考核合格证书(建安B证)，在本单位注册且未担任其他在建工程项目的项目负责人。（供应商需提供建造师证书及安全生产考核合格B证扫描件及无在建承诺书）</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本项目磋商。（以采购代理机构于递交投标文件截止时间当天进行资格审查时在“信用中国”网站及中国政府采购网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供应商需在项目电子化交易系统中按要求填写《资格证明文件》并进行电子签章。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按格式要求加盖了供应商公章和有法定代表人 或其授权代表签字或加盖人名章。</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供应商报价是固定价且未超过预算金额（招标文件有最高限价的，报价未超过最高限价）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w:t>
            </w:r>
          </w:p>
        </w:tc>
        <w:tc>
          <w:tcPr>
            <w:tcW w:type="dxa" w:w="1661"/>
          </w:tcPr>
          <w:p>
            <w:pPr>
              <w:pStyle w:val="null3"/>
            </w:pPr>
            <w:r>
              <w:rPr>
                <w:rFonts w:ascii="仿宋_GB2312" w:hAnsi="仿宋_GB2312" w:cs="仿宋_GB2312" w:eastAsia="仿宋_GB2312"/>
              </w:rPr>
              <w:t>响应文件封面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 ：1)响应文件有效期：有效期满足磋商文件要求的； 2)响应文件格式：响应文件按规定的格 式填写，内容完整且关键字迹清晰；3)备选方案：供应商不得提交两份或者多份内容不同的 响应文件，或者在同一份响应文件中对同一磋商项目有两个或者多个报价； 4)响应文件内容 ：供应商提供的文件无实质性遗漏； 5)技术响应：符合“采购需求”要求，无重大偏差； 6)工期：满足磋商文件要求； 7)付款方式：磋商文 件不允许偏差时，响应文件无负偏差；</w:t>
            </w:r>
          </w:p>
        </w:tc>
        <w:tc>
          <w:tcPr>
            <w:tcW w:type="dxa" w:w="1661"/>
          </w:tcPr>
          <w:p>
            <w:pPr>
              <w:pStyle w:val="null3"/>
            </w:pPr>
            <w:r>
              <w:rPr>
                <w:rFonts w:ascii="仿宋_GB2312" w:hAnsi="仿宋_GB2312" w:cs="仿宋_GB2312" w:eastAsia="仿宋_GB2312"/>
              </w:rPr>
              <w:t>响应文件封面 报价函 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技术方案（1）</w:t>
            </w:r>
          </w:p>
        </w:tc>
        <w:tc>
          <w:tcPr>
            <w:tcW w:type="dxa" w:w="2492"/>
          </w:tcPr>
          <w:p>
            <w:pPr>
              <w:pStyle w:val="null3"/>
            </w:pPr>
            <w:r>
              <w:rPr>
                <w:rFonts w:ascii="仿宋_GB2312" w:hAnsi="仿宋_GB2312" w:cs="仿宋_GB2312" w:eastAsia="仿宋_GB2312"/>
              </w:rPr>
              <w:t>供应商需提供确保工程质量的技术组织措施，方案各部分内容全面、阐述条理清晰详尽、符合本项目采购需求且描述详细，可行性强得5分；方案各部分内容齐全、有可行的措施，有针对性得4分；方案各部分内容全面、符合本项目采购需求，有具体描述，但有部分缺陷得3分；方案内容简略，可行性差，无针对性，得1分。备注：缺项或严重错误者该分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技术方案（2）</w:t>
            </w:r>
          </w:p>
        </w:tc>
        <w:tc>
          <w:tcPr>
            <w:tcW w:type="dxa" w:w="2492"/>
          </w:tcPr>
          <w:p>
            <w:pPr>
              <w:pStyle w:val="null3"/>
            </w:pPr>
            <w:r>
              <w:rPr>
                <w:rFonts w:ascii="仿宋_GB2312" w:hAnsi="仿宋_GB2312" w:cs="仿宋_GB2312" w:eastAsia="仿宋_GB2312"/>
              </w:rPr>
              <w:t>供应商需提供确保安全生产的技术组织措施，方案各部分内容全面、阐述条理清晰详尽、符合本项目采购需求且描述详细，可行性强得5分；方案各部分内容齐全、有可行的措施，有针对性得4分；方案各部分内容全面、符合本项目采购需求，有具体描述，但有部分缺陷得3分；方案内容简略，可行性差，无针对性，得1分。备注：缺项或严重错误者该分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技术方案（3）</w:t>
            </w:r>
          </w:p>
        </w:tc>
        <w:tc>
          <w:tcPr>
            <w:tcW w:type="dxa" w:w="2492"/>
          </w:tcPr>
          <w:p>
            <w:pPr>
              <w:pStyle w:val="null3"/>
            </w:pPr>
            <w:r>
              <w:rPr>
                <w:rFonts w:ascii="仿宋_GB2312" w:hAnsi="仿宋_GB2312" w:cs="仿宋_GB2312" w:eastAsia="仿宋_GB2312"/>
              </w:rPr>
              <w:t>供应商需提供确保文明施工的技术组织措施及环境保护措施，方案各部分内容全面、阐述条理清晰详尽、符合本项目采购需求且描述详细，可行性强得5分；方案各部分内容齐全、有可行的措施，有针对性得4分；方案各部分内容全面、符合本项目采购需求，有具体描述，但有部分缺陷得3分；方案内容简略，可行性差，无针对性，得1分。备注：缺项或严重错误者该分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技术方案（4）</w:t>
            </w:r>
          </w:p>
        </w:tc>
        <w:tc>
          <w:tcPr>
            <w:tcW w:type="dxa" w:w="2492"/>
          </w:tcPr>
          <w:p>
            <w:pPr>
              <w:pStyle w:val="null3"/>
            </w:pPr>
            <w:r>
              <w:rPr>
                <w:rFonts w:ascii="仿宋_GB2312" w:hAnsi="仿宋_GB2312" w:cs="仿宋_GB2312" w:eastAsia="仿宋_GB2312"/>
              </w:rPr>
              <w:t>供应商需提供确保工期的技术组织措施，方案各部分内容全面、阐述条理清晰详尽、符合本项目采购需求且描述详细，可行性强得5分；方案各部分内容齐全、有可行的措施，有针对性得4分；方案各部分内容全面、符合本项目采购需求，有具体描述，但有部分缺陷得3分；方案内容简略，可行性差，无针对性，得1分。备注：缺项或严重错误者该分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技术方案（5）</w:t>
            </w:r>
          </w:p>
        </w:tc>
        <w:tc>
          <w:tcPr>
            <w:tcW w:type="dxa" w:w="2492"/>
          </w:tcPr>
          <w:p>
            <w:pPr>
              <w:pStyle w:val="null3"/>
            </w:pPr>
            <w:r>
              <w:rPr>
                <w:rFonts w:ascii="仿宋_GB2312" w:hAnsi="仿宋_GB2312" w:cs="仿宋_GB2312" w:eastAsia="仿宋_GB2312"/>
              </w:rPr>
              <w:t>供应商需提供施工方案，方案各部分内容全面、阐述条理清晰详尽、符合本项目采购需求且描述详细，可行性强得10分；方案各部分内容齐全、有可行的措施，有针对性得8分；方案各部分内容全面、符合本项目采购需求，有具体描述，但有部分缺陷得5分；方案内容简略，可行性差，无针对性，得3分。备注：缺项或严重错误者该分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技术方案（6）</w:t>
            </w:r>
          </w:p>
        </w:tc>
        <w:tc>
          <w:tcPr>
            <w:tcW w:type="dxa" w:w="2492"/>
          </w:tcPr>
          <w:p>
            <w:pPr>
              <w:pStyle w:val="null3"/>
            </w:pPr>
            <w:r>
              <w:rPr>
                <w:rFonts w:ascii="仿宋_GB2312" w:hAnsi="仿宋_GB2312" w:cs="仿宋_GB2312" w:eastAsia="仿宋_GB2312"/>
              </w:rPr>
              <w:t>供应商需提供施工机械配备和材料投入计划，施工机械配备、材料投入计划优于项目需求，得5分；施工机械配备齐全、材料投入计划完全满足项目需求，得4分；施工机械配备部分不齐全、材料投入计划基本满足项目需求，得3分；施工机械配备不齐全、材料投入计划不能满足项目需求，得1分。备注：缺项或严重错误者该分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技术方案（7）</w:t>
            </w:r>
          </w:p>
        </w:tc>
        <w:tc>
          <w:tcPr>
            <w:tcW w:type="dxa" w:w="2492"/>
          </w:tcPr>
          <w:p>
            <w:pPr>
              <w:pStyle w:val="null3"/>
            </w:pPr>
            <w:r>
              <w:rPr>
                <w:rFonts w:ascii="仿宋_GB2312" w:hAnsi="仿宋_GB2312" w:cs="仿宋_GB2312" w:eastAsia="仿宋_GB2312"/>
              </w:rPr>
              <w:t>供应商需提供施工进度表或施工网络图，有明确可行、合理的施工进度表或施工网络图，对本项目针对性强，得5分；有较明确可行，较合理的施工进度表或施工网络图，对本项目针对性较强，得4分；施工进度表或施工网络图有可行性，对本项目针对性一般，得3分；施工进度表或施工网络图有可行性差，无针对性，得1分。备注：缺项或严重错误者该分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技术方案（8）</w:t>
            </w:r>
          </w:p>
        </w:tc>
        <w:tc>
          <w:tcPr>
            <w:tcW w:type="dxa" w:w="2492"/>
          </w:tcPr>
          <w:p>
            <w:pPr>
              <w:pStyle w:val="null3"/>
            </w:pPr>
            <w:r>
              <w:rPr>
                <w:rFonts w:ascii="仿宋_GB2312" w:hAnsi="仿宋_GB2312" w:cs="仿宋_GB2312" w:eastAsia="仿宋_GB2312"/>
              </w:rPr>
              <w:t>供应商需提供环境保护措施，方案各部分内容全面、阐述条理清晰详尽、符合本项目采购需求且描述详细，可行性强得5分；方案各部分内容全面、有可行的措施，有针对性得4分；方案各部分内容全面、符合本项目采购需求，有具体描述，但有部分缺陷得3分；方案内容简略，可行性差，无针对性，得1分。备注：缺项或严重错误者该分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人员配置（1）</w:t>
            </w:r>
          </w:p>
        </w:tc>
        <w:tc>
          <w:tcPr>
            <w:tcW w:type="dxa" w:w="2492"/>
          </w:tcPr>
          <w:p>
            <w:pPr>
              <w:pStyle w:val="null3"/>
            </w:pPr>
            <w:r>
              <w:rPr>
                <w:rFonts w:ascii="仿宋_GB2312" w:hAnsi="仿宋_GB2312" w:cs="仿宋_GB2312" w:eastAsia="仿宋_GB2312"/>
              </w:rPr>
              <w:t>拟派团队成员岗位设置合理、分工明确、经验丰富，能较好的完成本项目施工得8分；拟派团队成员岗位设置较合理、分工较明确、经验较丰富，能完成本项目施工的得6分；拟派团队有成员岗位设置及分工，能完成本项目施工但对本项目针对性一般的得3分；未提供相关说明资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人员配置（2）</w:t>
            </w:r>
          </w:p>
        </w:tc>
        <w:tc>
          <w:tcPr>
            <w:tcW w:type="dxa" w:w="2492"/>
          </w:tcPr>
          <w:p>
            <w:pPr>
              <w:pStyle w:val="null3"/>
            </w:pPr>
            <w:r>
              <w:rPr>
                <w:rFonts w:ascii="仿宋_GB2312" w:hAnsi="仿宋_GB2312" w:cs="仿宋_GB2312" w:eastAsia="仿宋_GB2312"/>
              </w:rPr>
              <w:t>拟派项目经理从业经验丰富，每具有1个相关业绩得2.5分，最高得5分。（拟派项目经理需在中标（成交)通知书或合同明确项目经理，需提供中标（成交）通知书或合同复印件，未提供不得分）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供应商提供2020年01月01日至今的类似工程施工业绩（以中标（成交）通知书时间或合同签订时间为准），每一份计3分，计满12分为止（需提供中标（成交）通知书或合同复印件，未提供不得分）。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满足磋商文件要求且最后各家磋商价格的最低值为评标基准价，其价格分为满分。磋商报价得分=(评审基准价/磋商报价)x价格权值x100%（本项目为专门面向中小企业项目，无价格扣除）。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详见附件：拟签订合同文本-清表.docx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