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版本号：SCZE2025-CS-0536-00120250415001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QJ7-7-73宗地考古发掘劳务配合工程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SCZE2025-CS-0536-001</w:t>
      </w:r>
      <w:r>
        <w:br/>
      </w:r>
      <w:r>
        <w:br/>
      </w:r>
      <w:r>
        <w:br/>
      </w:r>
    </w:p>
    <w:p>
      <w:pPr>
        <w:pStyle w:val="null3"/>
        <w:jc w:val="center"/>
        <w:outlineLvl w:val="2"/>
      </w:pPr>
      <w:r>
        <w:rPr>
          <w:rFonts w:ascii="仿宋_GB2312" w:hAnsi="仿宋_GB2312" w:cs="仿宋_GB2312" w:eastAsia="仿宋_GB2312"/>
          <w:sz w:val="28"/>
          <w:b/>
        </w:rPr>
        <w:t>西安曲江新区土地储备中心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西安曲江新区土地储备中心</w:t>
      </w:r>
      <w:r>
        <w:rPr>
          <w:rFonts w:ascii="仿宋_GB2312" w:hAnsi="仿宋_GB2312" w:cs="仿宋_GB2312" w:eastAsia="仿宋_GB2312"/>
        </w:rPr>
        <w:t>委托，拟对</w:t>
      </w:r>
      <w:r>
        <w:rPr>
          <w:rFonts w:ascii="仿宋_GB2312" w:hAnsi="仿宋_GB2312" w:cs="仿宋_GB2312" w:eastAsia="仿宋_GB2312"/>
        </w:rPr>
        <w:t>QJ7-7-73宗地考古发掘劳务配合工程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SCZE2025-CS-0536-001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QJ7-7-73宗地考古发掘劳务配合工程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本项目主要是配合考古发掘单位对项目范围文物勘探发现的墓葬等古代遗迹进行发掘清理及安全保卫等工作。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采购包1（QJ7-7-73宗地考古发掘劳务配合工程）：属于专门面向中小企业采购。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或法人身份证明：法人授权委托书或法人身份证明：法定代表人直接参加投标的，须出具法人身份证，并与营业执照上信息一致。法定代表人授权代表参加的，须出具法定代表人授权书、授权代表身份证及被授权人本单位证明（社保）</w:t>
      </w:r>
    </w:p>
    <w:p>
      <w:pPr>
        <w:pStyle w:val="null3"/>
      </w:pPr>
      <w:r>
        <w:rPr>
          <w:rFonts w:ascii="仿宋_GB2312" w:hAnsi="仿宋_GB2312" w:cs="仿宋_GB2312" w:eastAsia="仿宋_GB2312"/>
        </w:rPr>
        <w:t>2、信用要求：供应商在递交响应文件截止时间前被“信用中国 ” 网站（www.creditchina.gov.cn）和中国政府采购网（www.ccgp.gov.cn）上被列入失信 被执行人、重大税收违法失信主体、政府采购 严重违法失信行为记录名单的，不得参加本次采购活动。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西安曲江新区土地储备中心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029-88662512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陕西省西安市高新二路2号山西证券大厦8层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关微、马超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029-88499829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代理服务费收费标准：参照《国家计委关于印发&lt;招标代理服务收费管理暂行办法&gt;的通知》（计价格[2002]1980号）标准收取。按上述标准计算招标代理服务费不足8000元的，按8000元收取。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西安曲江新区土地储备中心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西安曲江新区土地储备中心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西安曲江新区土地储备中心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地址：西安市高新二路2号山西证券大厦8层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本项目主要是配合考古发掘单位对项目范围文物勘探发现的墓葬等古代遗迹进行发掘清理及安全保卫工作。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645,812.88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土石方清理、安全保卫等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标的名称：土石方清理、安全保卫等</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采购明细</w:t>
            </w:r>
          </w:p>
        </w:tc>
        <w:tc>
          <w:tcPr>
            <w:tcW w:type="dxa" w:w="2076"/>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曲江新区QJ7-7-73宗地位于西安市雁塔区曲江街道，北临雁林路，南邻曲江第一学校，东临鸿泊路，西临雁泊路。总用地面积约46761.44平方米(约合70.142亩),2023已完成文物勘探100%。文物勘探发现古墓葬41座、夯土基址2处，现拟对以上遗迹开展考古发掘工作。</w:t>
            </w:r>
          </w:p>
          <w:p>
            <w:pPr>
              <w:pStyle w:val="null3"/>
            </w:pPr>
            <w:r>
              <w:rPr>
                <w:rFonts w:ascii="仿宋_GB2312" w:hAnsi="仿宋_GB2312" w:cs="仿宋_GB2312" w:eastAsia="仿宋_GB2312"/>
              </w:rPr>
              <w:t>二、依据</w:t>
            </w:r>
          </w:p>
          <w:p>
            <w:pPr>
              <w:pStyle w:val="null3"/>
            </w:pPr>
            <w:r>
              <w:rPr>
                <w:rFonts w:ascii="仿宋_GB2312" w:hAnsi="仿宋_GB2312" w:cs="仿宋_GB2312" w:eastAsia="仿宋_GB2312"/>
              </w:rPr>
              <w:t>根据《西安市人民政府办公厅关于印发西安市加强考古勘探改革办法的通知》(市政办函【2019】53号)文件，在土地供应前实施考古工作。</w:t>
            </w:r>
          </w:p>
          <w:p>
            <w:pPr>
              <w:pStyle w:val="null3"/>
            </w:pPr>
            <w:r>
              <w:rPr>
                <w:rFonts w:ascii="仿宋_GB2312" w:hAnsi="仿宋_GB2312" w:cs="仿宋_GB2312" w:eastAsia="仿宋_GB2312"/>
              </w:rPr>
              <w:t>三、最高限价: 645,812.88</w:t>
            </w:r>
            <w:r>
              <w:rPr>
                <w:rFonts w:ascii="仿宋_GB2312" w:hAnsi="仿宋_GB2312" w:cs="仿宋_GB2312" w:eastAsia="仿宋_GB2312"/>
              </w:rPr>
              <w:t>元</w:t>
            </w:r>
          </w:p>
          <w:p>
            <w:pPr>
              <w:pStyle w:val="null3"/>
            </w:pPr>
            <w:r>
              <w:rPr>
                <w:rFonts w:ascii="仿宋_GB2312" w:hAnsi="仿宋_GB2312" w:cs="仿宋_GB2312" w:eastAsia="仿宋_GB2312"/>
              </w:rPr>
              <w:t>四、要求</w:t>
            </w:r>
          </w:p>
          <w:p>
            <w:pPr>
              <w:pStyle w:val="null3"/>
            </w:pPr>
            <w:r>
              <w:rPr>
                <w:rFonts w:ascii="仿宋_GB2312" w:hAnsi="仿宋_GB2312" w:cs="仿宋_GB2312" w:eastAsia="仿宋_GB2312"/>
              </w:rPr>
              <w:t>对项目的遗迹进行考古发掘劳务配合工作。</w:t>
            </w:r>
          </w:p>
          <w:tbl>
            <w:tblPr>
              <w:tblInd w:type="dxa" w:w="135"/>
              <w:tblBorders>
                <w:top w:val="none" w:color="000000" w:sz="4"/>
                <w:left w:val="none" w:color="000000" w:sz="4"/>
                <w:bottom w:val="none" w:color="000000" w:sz="4"/>
                <w:right w:val="none" w:color="000000" w:sz="4"/>
                <w:insideH w:val="none"/>
                <w:insideV w:val="none"/>
              </w:tblBorders>
            </w:tblPr>
            <w:tblGrid>
              <w:gridCol w:w="112"/>
              <w:gridCol w:w="417"/>
              <w:gridCol w:w="112"/>
              <w:gridCol w:w="112"/>
              <w:gridCol w:w="112"/>
              <w:gridCol w:w="136"/>
              <w:gridCol w:w="154"/>
              <w:gridCol w:w="120"/>
              <w:gridCol w:w="120"/>
              <w:gridCol w:w="120"/>
              <w:gridCol w:w="186"/>
              <w:gridCol w:w="154"/>
            </w:tblGrid>
            <w:tr>
              <w:tc>
                <w:tcPr>
                  <w:tcW w:type="dxa" w:w="11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编号</w:t>
                  </w:r>
                </w:p>
              </w:tc>
              <w:tc>
                <w:tcPr>
                  <w:tcW w:type="dxa" w:w="41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形制</w:t>
                  </w:r>
                </w:p>
              </w:tc>
              <w:tc>
                <w:tcPr>
                  <w:tcW w:type="dxa" w:w="626"/>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墓道</w:t>
                  </w:r>
                </w:p>
              </w:tc>
              <w:tc>
                <w:tcPr>
                  <w:tcW w:type="dxa" w:w="700"/>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墓室</w:t>
                  </w:r>
                </w:p>
              </w:tc>
            </w:tr>
            <w:tr>
              <w:tc>
                <w:tcPr>
                  <w:tcW w:type="dxa" w:w="112"/>
                  <w:vMerge/>
                  <w:tcBorders>
                    <w:top w:val="single" w:color="000000" w:sz="4"/>
                    <w:left w:val="single" w:color="000000" w:sz="4"/>
                    <w:bottom w:val="single" w:color="000000" w:sz="4"/>
                    <w:right w:val="single" w:color="000000" w:sz="4"/>
                  </w:tcBorders>
                </w:tcPr>
                <w:p/>
              </w:tc>
              <w:tc>
                <w:tcPr>
                  <w:tcW w:type="dxa" w:w="417"/>
                  <w:vMerge/>
                  <w:tcBorders>
                    <w:top w:val="single" w:color="000000" w:sz="4"/>
                    <w:left w:val="none" w:color="000000" w:sz="4"/>
                    <w:bottom w:val="single" w:color="000000" w:sz="4"/>
                    <w:right w:val="single" w:color="000000" w:sz="4"/>
                  </w:tcBorders>
                </w:tcP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p>
              </w:tc>
              <w:tc>
                <w:tcPr>
                  <w:tcW w:type="dxa" w:w="1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深</w:t>
                  </w:r>
                </w:p>
              </w:tc>
              <w:tc>
                <w:tcPr>
                  <w:tcW w:type="dxa" w:w="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面积</w:t>
                  </w:r>
                </w:p>
              </w:tc>
              <w:tc>
                <w:tcPr>
                  <w:tcW w:type="dxa" w:w="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深度系数</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深</w:t>
                  </w:r>
                </w:p>
              </w:tc>
              <w:tc>
                <w:tcPr>
                  <w:tcW w:type="dxa" w:w="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面积</w:t>
                  </w:r>
                </w:p>
              </w:tc>
              <w:tc>
                <w:tcPr>
                  <w:tcW w:type="dxa" w:w="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深度系数</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长方形竖穴土坑墓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0.9</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0.9</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0.9</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0.8</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0.9</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长方形竖穴土坑墓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0.9</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0.9</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0.9</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0.9</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0.9</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0.9</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0.9</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0.9</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0.9</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0.9</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斜坡墓道洞室墓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M40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M41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M42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长方形竖穴土坑墓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M43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M44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M45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竖穴墓道洞室墓</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HT1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夯土基址</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137.75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夯土基址</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采购人审核确认后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供应商需在项目电子化交易系统中按磋商文件附件要求填写《资格证明文件》并进行电子签章。</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供应商需在项目电子化交易系统中按磋商文件附件要求填写《资格证明文件》并进行电子签章。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供应商需在项目电子化交易系统中按磋商文件附件要求填写《资格证明文件》并进行电子签章。</w:t>
            </w:r>
          </w:p>
        </w:tc>
        <w:tc>
          <w:tcPr>
            <w:tcW w:type="dxa" w:w="1661"/>
          </w:tcPr>
          <w:p>
            <w:pPr>
              <w:pStyle w:val="null3"/>
            </w:pPr>
            <w:r>
              <w:rPr>
                <w:rFonts w:ascii="仿宋_GB2312" w:hAnsi="仿宋_GB2312" w:cs="仿宋_GB2312" w:eastAsia="仿宋_GB2312"/>
              </w:rPr>
              <w:t>响应函 资格证明文件.pdf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本项目为专门面向中小微企业的项目，参与的供应商服务应全部由符合政策要求的中小微企业、监狱企业或残疾人福利性单位承接。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授权委托书或法人身份证明</w:t>
            </w:r>
          </w:p>
        </w:tc>
        <w:tc>
          <w:tcPr>
            <w:tcW w:type="dxa" w:w="3322"/>
          </w:tcPr>
          <w:p>
            <w:pPr>
              <w:pStyle w:val="null3"/>
            </w:pPr>
            <w:r>
              <w:rPr>
                <w:rFonts w:ascii="仿宋_GB2312" w:hAnsi="仿宋_GB2312" w:cs="仿宋_GB2312" w:eastAsia="仿宋_GB2312"/>
              </w:rPr>
              <w:t>法人授权委托书或法人身份证明：法定代表人直接参加投标的，须出具法人身份证，并与营业执照上信息一致。法定代表人授权代表参加的，须出具法定代表人授权书、授权代表身份证及被授权人本单位证明（社保）</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供应商在递交响应文件截止时间前被“信用中国 ” 网站（www.creditchina.gov.cn）和中国政府采购网（www.ccgp.gov.cn）上被列入失信 被执行人、重大税收违法失信主体、政府采购 严重违法失信行为记录名单的，不得参加本次采购活动。</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响应方案说明.pdf 中小企业声明函 报价表 响应文件封面 拒绝政府采购领域商业贿赂承诺书.pdf 最终报价表.pdf 残疾人福利性单位声明函 标的清单 偏离表.pdf 响应函 资格证明文件.pdf 监狱企业的证明文件 分项报价表.pdf</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全面具体、内容完整、描述详尽，针对性强、可行性强、完全满足发掘劳务工作要求的得12分；服务方案全面具体、内容基本完整、描述简单，针对性一般、可行性一般，基本满足发掘劳务工作要求的得8分；服务方案粗略、内容不完整、描述简单，针对性较差、可行性较差、能满足发掘劳务工作要求的得4分，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响应方案说明.pdf</w:t>
            </w:r>
          </w:p>
        </w:tc>
      </w:tr>
      <w:tr>
        <w:tc>
          <w:tcPr>
            <w:tcW w:type="dxa" w:w="831"/>
            <w:vMerge/>
          </w:tcPr>
          <w:p/>
        </w:tc>
        <w:tc>
          <w:tcPr>
            <w:tcW w:type="dxa" w:w="1661"/>
          </w:tcPr>
          <w:p>
            <w:pPr>
              <w:pStyle w:val="null3"/>
            </w:pPr>
            <w:r>
              <w:rPr>
                <w:rFonts w:ascii="仿宋_GB2312" w:hAnsi="仿宋_GB2312" w:cs="仿宋_GB2312" w:eastAsia="仿宋_GB2312"/>
              </w:rPr>
              <w:t>确保发掘质量的技术组织措施</w:t>
            </w:r>
          </w:p>
        </w:tc>
        <w:tc>
          <w:tcPr>
            <w:tcW w:type="dxa" w:w="2492"/>
          </w:tcPr>
          <w:p>
            <w:pPr>
              <w:pStyle w:val="null3"/>
            </w:pPr>
            <w:r>
              <w:rPr>
                <w:rFonts w:ascii="仿宋_GB2312" w:hAnsi="仿宋_GB2312" w:cs="仿宋_GB2312" w:eastAsia="仿宋_GB2312"/>
              </w:rPr>
              <w:t>有明确确保发掘质量的技术组织措施，针对性强，可行性强、完全满足发掘劳务工作要求的得12分；对本项目针对性一般，可行性一般，基本满足发掘劳务工作要求的得8分；技术组织措施粗略，针对性较差、可行性较差、能满足发掘劳务工作要求的得4分，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响应方案说明.pdf</w:t>
            </w:r>
          </w:p>
        </w:tc>
      </w:tr>
      <w:tr>
        <w:tc>
          <w:tcPr>
            <w:tcW w:type="dxa" w:w="831"/>
            <w:vMerge/>
          </w:tcPr>
          <w:p/>
        </w:tc>
        <w:tc>
          <w:tcPr>
            <w:tcW w:type="dxa" w:w="1661"/>
          </w:tcPr>
          <w:p>
            <w:pPr>
              <w:pStyle w:val="null3"/>
            </w:pPr>
            <w:r>
              <w:rPr>
                <w:rFonts w:ascii="仿宋_GB2312" w:hAnsi="仿宋_GB2312" w:cs="仿宋_GB2312" w:eastAsia="仿宋_GB2312"/>
              </w:rPr>
              <w:t>针对本项目的人员配备</w:t>
            </w:r>
          </w:p>
        </w:tc>
        <w:tc>
          <w:tcPr>
            <w:tcW w:type="dxa" w:w="2492"/>
          </w:tcPr>
          <w:p>
            <w:pPr>
              <w:pStyle w:val="null3"/>
            </w:pPr>
            <w:r>
              <w:rPr>
                <w:rFonts w:ascii="仿宋_GB2312" w:hAnsi="仿宋_GB2312" w:cs="仿宋_GB2312" w:eastAsia="仿宋_GB2312"/>
              </w:rPr>
              <w:t>项目团队综合实力强，服务团队配备合理，人员经验丰富、专业性强，满足本项目需求得12分；项目团队综合实力较好，服务团队配备较为合理，人员经验较为丰富、专业性较好，基本满足本项目需求得8分；项目团队综合实力较差，服务团队配备合理性一般，人员相关经验较浅、专业性一般得4分；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响应方案说明.pdf</w:t>
            </w:r>
          </w:p>
        </w:tc>
      </w:tr>
      <w:tr>
        <w:tc>
          <w:tcPr>
            <w:tcW w:type="dxa" w:w="831"/>
            <w:vMerge/>
          </w:tcPr>
          <w:p/>
        </w:tc>
        <w:tc>
          <w:tcPr>
            <w:tcW w:type="dxa" w:w="1661"/>
          </w:tcPr>
          <w:p>
            <w:pPr>
              <w:pStyle w:val="null3"/>
            </w:pPr>
            <w:r>
              <w:rPr>
                <w:rFonts w:ascii="仿宋_GB2312" w:hAnsi="仿宋_GB2312" w:cs="仿宋_GB2312" w:eastAsia="仿宋_GB2312"/>
              </w:rPr>
              <w:t>确保安全作业及环境保护措施</w:t>
            </w:r>
          </w:p>
        </w:tc>
        <w:tc>
          <w:tcPr>
            <w:tcW w:type="dxa" w:w="2492"/>
          </w:tcPr>
          <w:p>
            <w:pPr>
              <w:pStyle w:val="null3"/>
            </w:pPr>
            <w:r>
              <w:rPr>
                <w:rFonts w:ascii="仿宋_GB2312" w:hAnsi="仿宋_GB2312" w:cs="仿宋_GB2312" w:eastAsia="仿宋_GB2312"/>
              </w:rPr>
              <w:t>内容完整，描述详尽，针对性、可行性强，完全满足项目要求的得12分；内容完整，描述简单，针对性、可行性一般，基本满足项目要求的得8分；内容粗略，描述简单，无针对性、可行性较差，能满足项目要求的得4分，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响应方案说明.pdf</w:t>
            </w:r>
          </w:p>
        </w:tc>
      </w:tr>
      <w:tr>
        <w:tc>
          <w:tcPr>
            <w:tcW w:type="dxa" w:w="831"/>
            <w:vMerge/>
          </w:tcPr>
          <w:p/>
        </w:tc>
        <w:tc>
          <w:tcPr>
            <w:tcW w:type="dxa" w:w="1661"/>
          </w:tcPr>
          <w:p>
            <w:pPr>
              <w:pStyle w:val="null3"/>
            </w:pPr>
            <w:r>
              <w:rPr>
                <w:rFonts w:ascii="仿宋_GB2312" w:hAnsi="仿宋_GB2312" w:cs="仿宋_GB2312" w:eastAsia="仿宋_GB2312"/>
              </w:rPr>
              <w:t>工具配备</w:t>
            </w:r>
          </w:p>
        </w:tc>
        <w:tc>
          <w:tcPr>
            <w:tcW w:type="dxa" w:w="2492"/>
          </w:tcPr>
          <w:p>
            <w:pPr>
              <w:pStyle w:val="null3"/>
            </w:pPr>
            <w:r>
              <w:rPr>
                <w:rFonts w:ascii="仿宋_GB2312" w:hAnsi="仿宋_GB2312" w:cs="仿宋_GB2312" w:eastAsia="仿宋_GB2312"/>
              </w:rPr>
              <w:t>项目实施所需工具，配备科学、充足，完全满足本项目需求的得9分；项目实施所需工具，配备合理、基本能满足本项目需求的得6分；项目实施所需工具，配备不合理、数量不足，能满足本项目需求的得3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响应方案说明.pdf</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应急预案完备健全，科学性强、合理性强、可操作性强得12分；应急预案基本完备，科学性一般、合理性及可操作性一般得8分；应急预案完备程度较差，方案合理性及可操作性较差得4分；未提供得0分。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响应方案说明.pdf</w:t>
            </w:r>
          </w:p>
        </w:tc>
      </w:tr>
      <w:tr>
        <w:tc>
          <w:tcPr>
            <w:tcW w:type="dxa" w:w="831"/>
            <w:vMerge/>
          </w:tcPr>
          <w:p/>
        </w:tc>
        <w:tc>
          <w:tcPr>
            <w:tcW w:type="dxa" w:w="1661"/>
          </w:tcPr>
          <w:p>
            <w:pPr>
              <w:pStyle w:val="null3"/>
            </w:pPr>
            <w:r>
              <w:rPr>
                <w:rFonts w:ascii="仿宋_GB2312" w:hAnsi="仿宋_GB2312" w:cs="仿宋_GB2312" w:eastAsia="仿宋_GB2312"/>
              </w:rPr>
              <w:t>安保措施</w:t>
            </w:r>
          </w:p>
        </w:tc>
        <w:tc>
          <w:tcPr>
            <w:tcW w:type="dxa" w:w="2492"/>
          </w:tcPr>
          <w:p>
            <w:pPr>
              <w:pStyle w:val="null3"/>
            </w:pPr>
            <w:r>
              <w:rPr>
                <w:rFonts w:ascii="仿宋_GB2312" w:hAnsi="仿宋_GB2312" w:cs="仿宋_GB2312" w:eastAsia="仿宋_GB2312"/>
              </w:rPr>
              <w:t>安保措施完备健全，针对性强、可操作性强得7分；安保措施基本完备，针对性一般、可操作性一般得5分；安保措施完备程度较差，针对性及可操作性较差得3分；未提供得0分。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响应方案说明.pdf</w:t>
            </w:r>
          </w:p>
        </w:tc>
      </w:tr>
      <w:tr>
        <w:tc>
          <w:tcPr>
            <w:tcW w:type="dxa" w:w="831"/>
            <w:vMerge/>
          </w:tcPr>
          <w:p/>
        </w:tc>
        <w:tc>
          <w:tcPr>
            <w:tcW w:type="dxa" w:w="1661"/>
          </w:tcPr>
          <w:p>
            <w:pPr>
              <w:pStyle w:val="null3"/>
            </w:pPr>
            <w:r>
              <w:rPr>
                <w:rFonts w:ascii="仿宋_GB2312" w:hAnsi="仿宋_GB2312" w:cs="仿宋_GB2312" w:eastAsia="仿宋_GB2312"/>
              </w:rPr>
              <w:t>类似经验</w:t>
            </w:r>
          </w:p>
        </w:tc>
        <w:tc>
          <w:tcPr>
            <w:tcW w:type="dxa" w:w="2492"/>
          </w:tcPr>
          <w:p>
            <w:pPr>
              <w:pStyle w:val="null3"/>
            </w:pPr>
            <w:r>
              <w:rPr>
                <w:rFonts w:ascii="仿宋_GB2312" w:hAnsi="仿宋_GB2312" w:cs="仿宋_GB2312" w:eastAsia="仿宋_GB2312"/>
              </w:rPr>
              <w:t>供应商提供近三年（2022年1月-至今）类似项目业绩，每提供一项得3分，最多得9分（以合同签订时间或中标通知书时间为准）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满足采购文件要求且报价最低的响应报价为评审基准价，其价格分为满分。其他供应商的价格分统一按照下列公式计算：报价得分=（评标基准价/响应报价）×价格分值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分项报价表.pdf</w:t>
            </w:r>
          </w:p>
          <w:p>
            <w:pPr>
              <w:pStyle w:val="null3"/>
            </w:pPr>
            <w:r>
              <w:rPr>
                <w:rFonts w:ascii="仿宋_GB2312" w:hAnsi="仿宋_GB2312" w:cs="仿宋_GB2312" w:eastAsia="仿宋_GB2312"/>
              </w:rPr>
              <w:t>最终报价表.pdf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详见附件：分项报价表.pdf</w:t>
      </w:r>
    </w:p>
    <w:p>
      <w:pPr>
        <w:pStyle w:val="null3"/>
        <w:ind w:firstLine="960"/>
      </w:pPr>
      <w:r>
        <w:rPr>
          <w:rFonts w:ascii="仿宋_GB2312" w:hAnsi="仿宋_GB2312" w:cs="仿宋_GB2312" w:eastAsia="仿宋_GB2312"/>
        </w:rPr>
        <w:t>详见附件：拒绝政府采购领域商业贿赂承诺书.pdf</w:t>
      </w:r>
    </w:p>
    <w:p>
      <w:pPr>
        <w:pStyle w:val="null3"/>
        <w:ind w:firstLine="960"/>
      </w:pPr>
      <w:r>
        <w:rPr>
          <w:rFonts w:ascii="仿宋_GB2312" w:hAnsi="仿宋_GB2312" w:cs="仿宋_GB2312" w:eastAsia="仿宋_GB2312"/>
        </w:rPr>
        <w:t>详见附件：偏离表.pdf</w:t>
      </w:r>
    </w:p>
    <w:p>
      <w:pPr>
        <w:pStyle w:val="null3"/>
        <w:ind w:firstLine="960"/>
      </w:pPr>
      <w:r>
        <w:rPr>
          <w:rFonts w:ascii="仿宋_GB2312" w:hAnsi="仿宋_GB2312" w:cs="仿宋_GB2312" w:eastAsia="仿宋_GB2312"/>
        </w:rPr>
        <w:t>详见附件：响应方案说明.pdf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详见附件：最终报价表.pdf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详见附件：拟签订合同4.16.docx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