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版本号：SXXZC202503120250623001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2025年曲江新区融雪剂政府采购项目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SXXZC2025031</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陕西信智诚项目管理有限公司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陕西信智诚项目管理有限公司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2025年曲江新区融雪剂政府采购项目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2025年曲江新区融雪剂政府采购项目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2025年曲江新区融雪剂政府采购项目，采购内容详见采购需求。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身份证明或法定代表人授权委托书：法定代表人直接参加磋商时电子磋商响应文件须附法定代表人身份证明及法定代表人身份证；法定代表人授权委托代理人参加磋商时电子磋商响应文件须附法定代表人授权委托书及委托代理人身份证。</w:t>
      </w:r>
    </w:p>
    <w:p>
      <w:pPr>
        <w:pStyle w:val="null3"/>
      </w:pPr>
      <w:r>
        <w:rPr>
          <w:rFonts w:ascii="仿宋_GB2312" w:hAnsi="仿宋_GB2312" w:cs="仿宋_GB2312" w:eastAsia="仿宋_GB2312"/>
        </w:rPr>
        <w:t>2、信用查询：供应商不得为“信用中国(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3、控股关系：单位负责人为同一人或者存在直接控股、管理关系的供应商，不得参加同一合同下的政府采购活动；</w:t>
      </w:r>
    </w:p>
    <w:p>
      <w:pPr>
        <w:pStyle w:val="null3"/>
      </w:pPr>
      <w:r>
        <w:rPr>
          <w:rFonts w:ascii="仿宋_GB2312" w:hAnsi="仿宋_GB2312" w:cs="仿宋_GB2312" w:eastAsia="仿宋_GB2312"/>
        </w:rPr>
        <w:t>4、供应商书面声明：供应商未为本项目提供整体设计、规范编制或者项目管理、监理、检测等服务的书面声明；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西安雁塔区杜陵邑南路 6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029-68660070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陕西信智诚项目管理有限公司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陕西省西安市经济技术开发区凤城四路90号海璟新天地写字楼2006室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徐方宇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18091280711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的收取参照国家计委颁布的《招标代理服务收费管理暂行办法》（计价格[2002]1980号）和（发改办价格[2003]857号）货物收费标准计取。上费用应计入报价中，但不需要单独开列。2. 成交单位在领取成交通知书前，须向采购代理机构一次性支付招标代理服务费。 3.成交单位的代理服务费交纳信息： 开户名称：陕西信智诚项目管理有限公司 开户银行：兴业银行股份有限公司西安经济开发区支行 银行账号：456870100100379282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陕西信智诚项目管理有限公司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陕西信智诚项目管理有限公司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陕西信智诚项目管理有限公司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联系人：徐方宇</w:t>
      </w:r>
    </w:p>
    <w:p>
      <w:pPr>
        <w:pStyle w:val="null3"/>
      </w:pPr>
      <w:r>
        <w:rPr>
          <w:rFonts w:ascii="仿宋_GB2312" w:hAnsi="仿宋_GB2312" w:cs="仿宋_GB2312" w:eastAsia="仿宋_GB2312"/>
        </w:rPr>
        <w:t>联系电话：18091280711</w:t>
      </w:r>
    </w:p>
    <w:p>
      <w:pPr>
        <w:pStyle w:val="null3"/>
      </w:pPr>
      <w:r>
        <w:rPr>
          <w:rFonts w:ascii="仿宋_GB2312" w:hAnsi="仿宋_GB2312" w:cs="仿宋_GB2312" w:eastAsia="仿宋_GB2312"/>
        </w:rPr>
        <w:t>地址：陕西省西安市经济技术开发区凤城四路90号海璟新天地写字楼2006室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2025年曲江新区融雪剂政府采购项目，采购内容详见采购需求。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739,800.00</w:t>
      </w:r>
    </w:p>
    <w:p>
      <w:pPr>
        <w:pStyle w:val="null3"/>
      </w:pPr>
      <w:r>
        <w:rPr>
          <w:rFonts w:ascii="仿宋_GB2312" w:hAnsi="仿宋_GB2312" w:cs="仿宋_GB2312" w:eastAsia="仿宋_GB2312"/>
        </w:rPr>
        <w:t>采购包最高限价（元）: 739,800.00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2025年曲江新区融雪剂政府采购项目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标的名称：2025年曲江新区融雪剂政府采购项目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（一）曲江新区核心区域城市道路保洁面积约998万平方米，根据低温雨雪天气情况及城市精细化管理要求，本次计划采购环保型融雪剂500吨，其中固体融雪剂400吨、液体融雪剂100吨。</w:t>
            </w:r>
          </w:p>
          <w:p>
            <w:pPr>
              <w:pStyle w:val="null3"/>
              <w:ind w:firstLine="640"/>
              <w:jc w:val="both"/>
            </w:pPr>
            <w:r>
              <w:rPr>
                <w:rFonts w:ascii="仿宋_GB2312" w:hAnsi="仿宋_GB2312" w:cs="仿宋_GB2312" w:eastAsia="仿宋_GB2312"/>
                <w:sz w:val="18"/>
              </w:rPr>
              <w:t>（二）项目预期实现目标：符合环保型融雪剂规格技术参数及国家质量环保标准等要求，有相应的质检合格证书，货物在保质有效期内，外包装无损坏，达到安全、实用、环保的质量标准。</w:t>
            </w:r>
          </w:p>
          <w:p>
            <w:pPr>
              <w:pStyle w:val="null3"/>
              <w:ind w:firstLine="640"/>
              <w:jc w:val="both"/>
            </w:pPr>
            <w:r>
              <w:rPr>
                <w:rFonts w:ascii="仿宋_GB2312" w:hAnsi="仿宋_GB2312" w:cs="仿宋_GB2312" w:eastAsia="仿宋_GB2312"/>
                <w:sz w:val="18"/>
              </w:rPr>
              <w:t>（三）采购需求</w:t>
            </w:r>
          </w:p>
          <w:p>
            <w:pPr>
              <w:pStyle w:val="null3"/>
              <w:ind w:firstLine="640"/>
              <w:jc w:val="both"/>
            </w:pPr>
            <w:r>
              <w:rPr>
                <w:rFonts w:ascii="仿宋_GB2312" w:hAnsi="仿宋_GB2312" w:cs="仿宋_GB2312" w:eastAsia="仿宋_GB2312"/>
                <w:sz w:val="18"/>
              </w:rPr>
              <w:t>1.固体融雪剂，本次拟采购400吨；</w:t>
            </w:r>
            <w:r>
              <w:rPr>
                <w:rFonts w:ascii="仿宋_GB2312" w:hAnsi="仿宋_GB2312" w:cs="仿宋_GB2312" w:eastAsia="仿宋_GB2312"/>
                <w:sz w:val="18"/>
              </w:rPr>
              <w:t>固体融合剂需为高密度防水防塑料潮编织物包装、防潮防水，每袋50公斤，确保无破损、污染、结块现象。不规则颗粒，无味，无皮肤刺激感，PH值</w:t>
            </w:r>
            <w:r>
              <w:rPr>
                <w:rFonts w:ascii="仿宋_GB2312" w:hAnsi="仿宋_GB2312" w:cs="仿宋_GB2312" w:eastAsia="仿宋_GB2312"/>
                <w:sz w:val="18"/>
              </w:rPr>
              <w:t>≧6.0≦10.0。冰点≦-20℃，相对融雪化冰能力，对照二水氯化钙≧90%，固体溶解速度≥6.0g/min，碳钢腐蚀率≦0.11㎜/a，路面摩擦衰减率≤10%，植物种子相对受害率≤50%，氯化物（Cl-）w/%：≤1。环保型融雪剂成分配比：醋酸钙≥60%、醋酸镁≥35%、氯化钙≤5%。</w:t>
            </w:r>
          </w:p>
          <w:p>
            <w:pPr>
              <w:pStyle w:val="null3"/>
              <w:ind w:firstLine="640"/>
              <w:jc w:val="both"/>
            </w:pPr>
            <w:r>
              <w:rPr>
                <w:rFonts w:ascii="仿宋_GB2312" w:hAnsi="仿宋_GB2312" w:cs="仿宋_GB2312" w:eastAsia="仿宋_GB2312"/>
                <w:sz w:val="18"/>
              </w:rPr>
              <w:t>2液体融雪剂：</w:t>
            </w:r>
            <w:r>
              <w:rPr>
                <w:rFonts w:ascii="仿宋_GB2312" w:hAnsi="仿宋_GB2312" w:cs="仿宋_GB2312" w:eastAsia="仿宋_GB2312"/>
                <w:sz w:val="18"/>
              </w:rPr>
              <w:t>本次拟采购100吨；</w:t>
            </w:r>
            <w:r>
              <w:rPr>
                <w:rFonts w:ascii="仿宋_GB2312" w:hAnsi="仿宋_GB2312" w:cs="仿宋_GB2312" w:eastAsia="仿宋_GB2312"/>
                <w:sz w:val="18"/>
              </w:rPr>
              <w:t>密闭封装、并附带有产品介绍、物质含量表、出厂日期等。</w:t>
            </w:r>
            <w:r>
              <w:rPr>
                <w:rFonts w:ascii="仿宋_GB2312" w:hAnsi="仿宋_GB2312" w:cs="仿宋_GB2312" w:eastAsia="仿宋_GB2312"/>
                <w:sz w:val="18"/>
              </w:rPr>
              <w:t>为普通化学品，无毒无害。比重（20°）1.15-1.20g/ml，PH值（20°)7.0-11.5，氯离子&lt;50ppm，重金属（铅、镉、汞、铬等）各组分&lt;1ppm</w:t>
            </w:r>
            <w:r>
              <w:rPr>
                <w:rFonts w:ascii="仿宋_GB2312" w:hAnsi="仿宋_GB2312" w:cs="仿宋_GB2312" w:eastAsia="仿宋_GB2312"/>
                <w:sz w:val="18"/>
              </w:rPr>
              <w:t>。</w:t>
            </w:r>
          </w:p>
          <w:p>
            <w:pPr>
              <w:pStyle w:val="null3"/>
              <w:ind w:firstLine="64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实际费用以按照甲方要求，乙方分批向甲方送达的采购货物种类、数量为准。期间库存货物，乙方不得向甲方另行收取库存费用。所需货物全部送达，且经甲方验收合格后，乙方向甲方开具同等金额发票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2、本项目非专门面向中小企业。 3、本采购项目必须符合国家环保标准要求，对空气、环境、路面、河流不产生破坏和污染，对喷洒作业的环卫车辆不产生腐蚀破坏，存在质量问题经相关部门鉴定、由乙方承担相应责任。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等相关证明文件，自然人参与的提供其身份证明；2.提供具有经审计资质单位出具的2023年度或2024年度的财务审计报告；或开标前六个月内基本存款账户开户银行出具的资信证明。（附基本存款账户信息）； 3.提交投标文件截止时间前六个月内至少一个月的社会保障资金缴存单据或社保机构开具的社会保险参保缴费情况证明，单据或证明上应有社保机构或代收机构的公章或业务专用章； 4.提交投标文件截止时间前一年内至少一个月的纳税证明或完税证明（增值税、营业税、企业所得税至少提供一种），纳税证明或完税证明上应有代收机构或税务机关的公章或业务专用章； 5.提供具有履行合同所必需的设备和专业技术能力的承诺函； 6.出具参加政府采购活动前3年内，在经营活动中没有重大违法纪录的书面声明。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加磋商时电子磋商响应文件须附法定代表人身份证明及法定代表人身份证；法定代表人授权委托代理人参加磋商时电子磋商响应文件须附法定代表人授权委托书及委托代理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响应方案说明.docx 产品技术参数表 分项报价表.docx 中小企业声明函 商务应答表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响应方案说明.docx 产品技术参数表 分项报价表.docx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响应文件封面 响应方案说明.docx 产品技术参数表 分项报价表.docx 中小企业声明函 残疾人福利性单位声明函 商务应答表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供应商针对本项目提供完整、合理、详细的实施方案，从而实现保质保量按 期供货、完工。方案包含①供货及物流运输方案②验收方案③项目进度保证 措施④配送及存储方案(融雪剂的配送、存储状态、调运方式等)⑤应急措 施(如在配送、运输中、使用中等发现问题后的解决措施)。 以上各项赋分标准：①供货及物流运输方案：每完全满足一个评审标准得2分，满分4 分；②验收方案：每完全满足一个评审标准得1.5分，满分3分;③项目进度保证措施：每完全满足一个评审标准得1.5分，满分3分；④配送及存储方案(融雪剂的配送、存储状态、调运方式等)：每完全满足一个评审标准得3分，满分9分；⑤应急措施(如在配送、运输中、使用中等发现问题后的解决措施)：每完全满足一个评审标准得2分，满分6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供应商提供的产品合法来源渠道证明资料(例如:制造商授权书，代理协议，销售协议等其中任意一种证明文件即可)及确保产品为正规厂家生产的合格产品，有质量保证，确保无假货、水货、翻新货，技术、商务资料齐全，无产权纠纷。提供一项产品的合法来源证明文件得3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提供产品选型符合磋商文件要求，产品配置完整合理，其品牌、规格、型号、产地、技术参数清晰明确，无缺漏项，无负偏差，其响应技术指标和性能完全满足磋商文件要求计满分10分，每有一项缺漏扣2分，每有一项负偏离扣 1分，扣完为止。备注：须提供相应的参数指标证明文件，证明文件包括但不限于：产品相关技术资料、生产厂商确认盖章的技术参数。 根据供应商所提供货物的技术性能指标与磋商文件的符合程度、参数偏离情 况等进行综合评定：①所提供货物的技术性能指标完全满足招标文件技术规范要求得10 分；②技术性能指标低于磋商文件要求的每一项扣1分，扣完为止。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结合本项目实际情况，提供融雪剂质量保证方案，方案包括①融雪剂的包装 质量和实用性②保证提供的融雪剂符合国家药品质量标准和有关要求，提供 所配送融雪剂质检报告等证明性文件③融雪剂使用效果④质量保证措施⑤ 质量保证承诺。 以上各项赋分标准：①融雪剂包装质量和实用性：每完全满足一个评审标准得 1.5分，满分3分；②保证提供的融雪剂符合国家药品质量标准和有关要求，提供所配送融雪剂质检报告等证明性文件：每完全满足一个评审标准得2分,满分4 分;③融雪剂使用效果:每完全满足一个评审标准得1分，满分2分;④质量保证措施:每完全满足一个评审标准得0.5分，满分1分;⑤质量保证承诺:每完全满足一个评审标准得1分，满分2分。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采购要求和磋商响应文件技术响应情况,对供应商提供的售后及培训服务方案进行评审，其中：①售后服务承诺及保障措施②响应及处理周期③拟投入售后服务人员配置情况④质保期内售后服务网点整体情况⑤售后服务制度。 以上各项内容全面明确、阐述条理清晰得15分，每有一个缺项扣3分，每有 一项内容存在缺陷，扣1-3分，扣完为止。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2021年12月1日起，供应商具有类似项目业绩，每提供一份类似业绩的得2.5分，此项最多得5分。备注：须提供相关业绩的成交通知书、合同关键页(合同关键页至少包含合同封面，扉页，关键内容页，双方盖章页)。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满足磋商文件要求且最终报价最低的磋商报价为评标基准价，其价格分为满分。其他供应商的价格分统一按照下列公式计算：磋商报价得分=（评标基准价/磋商报价）×价格权值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