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版本号：SXXZC202502020250605001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2025年曲江新区环卫车队人员餐饮及物业管理服务(二次)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SXXZC2025020</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陕西信智诚项目管理有限公司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陕西信智诚项目管理有限公司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2025年曲江新区环卫车队人员餐饮及物业管理服务(二次)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2025年曲江新区环卫车队人员餐饮及物业管理服务(二次)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环卫车队员工餐厅位于西安绕城高速路南侧长鸣路西，曲江新区城市服务站项目部院内。2025年曲江环卫车队将有就餐人员115名。因工作需要，现需采购餐饮服务项目，内容包括：食材采购、餐饮服务、餐厅设备维护、环境保洁服务、餐厅公共秩序及消防服务,服务期限一年（具体内容详见竞争性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采购包1（2025年曲江新区环卫车队人员餐饮及物业服务项目）：属于专门面向中小企业采购。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rFonts w:ascii="仿宋_GB2312" w:hAnsi="仿宋_GB2312" w:cs="仿宋_GB2312" w:eastAsia="仿宋_GB2312"/>
        </w:rPr>
        <w:t>2、食品经营许可证：供应商须具有合格有效的食品经营许可证</w:t>
      </w:r>
    </w:p>
    <w:p>
      <w:pPr>
        <w:pStyle w:val="null3"/>
      </w:pPr>
      <w:r>
        <w:rPr>
          <w:rFonts w:ascii="仿宋_GB2312" w:hAnsi="仿宋_GB2312" w:cs="仿宋_GB2312" w:eastAsia="仿宋_GB2312"/>
        </w:rPr>
        <w:t>3、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陕西信智诚项目管理有限公司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西安市经济技术开发区凤城四路90号海璟新天地写字楼2006室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15339132732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68660282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采购包1：1,501,890.00元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2、成交单位的代理服务费交纳信息 银行户名：陕西信智诚项目管理有限公司 开户银行：兴业银行股份有限公司西安经济开发区支行 账 号：456870100100379282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陕西信智诚项目管理有限公司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陕西信智诚项目管理有限公司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陕西信智诚项目管理有限公司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联系人：何青</w:t>
      </w:r>
    </w:p>
    <w:p>
      <w:pPr>
        <w:pStyle w:val="null3"/>
      </w:pPr>
      <w:r>
        <w:rPr>
          <w:rFonts w:ascii="仿宋_GB2312" w:hAnsi="仿宋_GB2312" w:cs="仿宋_GB2312" w:eastAsia="仿宋_GB2312"/>
        </w:rPr>
        <w:t>联系电话：15339132732</w:t>
      </w:r>
    </w:p>
    <w:p>
      <w:pPr>
        <w:pStyle w:val="null3"/>
      </w:pPr>
      <w:r>
        <w:rPr>
          <w:rFonts w:ascii="仿宋_GB2312" w:hAnsi="仿宋_GB2312" w:cs="仿宋_GB2312" w:eastAsia="仿宋_GB2312"/>
        </w:rPr>
        <w:t>地址：西安市经济技术开发区凤城四路90号海璟新天地写字楼2006室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曲江新区环卫车队员工餐厅位于西安绕城高速路南侧长鸣路西，曲江新区城市服务站项目部院内。</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年曲江环卫车队将有就餐人员</w:t>
      </w:r>
      <w:r>
        <w:rPr>
          <w:rFonts w:ascii="仿宋_GB2312" w:hAnsi="仿宋_GB2312" w:cs="仿宋_GB2312" w:eastAsia="仿宋_GB2312"/>
        </w:rPr>
        <w:t>115</w:t>
      </w:r>
      <w:r>
        <w:rPr>
          <w:rFonts w:ascii="仿宋_GB2312" w:hAnsi="仿宋_GB2312" w:cs="仿宋_GB2312" w:eastAsia="仿宋_GB2312"/>
        </w:rPr>
        <w:t>名。因工作需要，现需采购餐饮服务项目，内容包括：食材采购、餐饮服务、餐厅设备维护、环境保洁服务、餐厅公共秩序及消防服务</w:t>
      </w:r>
      <w:r>
        <w:rPr>
          <w:rFonts w:ascii="仿宋_GB2312" w:hAnsi="仿宋_GB2312" w:cs="仿宋_GB2312" w:eastAsia="仿宋_GB2312"/>
        </w:rPr>
        <w:t>,</w:t>
      </w:r>
      <w:r>
        <w:rPr>
          <w:rFonts w:ascii="仿宋_GB2312" w:hAnsi="仿宋_GB2312" w:cs="仿宋_GB2312" w:eastAsia="仿宋_GB2312"/>
        </w:rPr>
        <w:t>服务期限一年。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1,501,890.00</w:t>
      </w:r>
    </w:p>
    <w:p>
      <w:pPr>
        <w:pStyle w:val="null3"/>
      </w:pPr>
      <w:r>
        <w:rPr>
          <w:rFonts w:ascii="仿宋_GB2312" w:hAnsi="仿宋_GB2312" w:cs="仿宋_GB2312" w:eastAsia="仿宋_GB2312"/>
        </w:rPr>
        <w:t>采购包最高限价（元）: 1,501,890.00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采购一家单位员工餐厅运行管理的企业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1,501,890.00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标的名称：采购一家单位员工餐厅运行管理的企业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2"/>
              <w:jc w:val="left"/>
            </w:pPr>
            <w:r>
              <w:rPr>
                <w:rFonts w:ascii="仿宋_GB2312" w:hAnsi="仿宋_GB2312" w:cs="仿宋_GB2312" w:eastAsia="仿宋_GB2312"/>
                <w:sz w:val="22"/>
                <w:b/>
              </w:rPr>
              <w:t>一、项目概况</w:t>
            </w:r>
          </w:p>
          <w:p>
            <w:pPr>
              <w:pStyle w:val="null3"/>
              <w:spacing w:before="105" w:after="105"/>
              <w:ind w:firstLine="440"/>
              <w:jc w:val="left"/>
            </w:pPr>
            <w:r>
              <w:rPr>
                <w:rFonts w:ascii="仿宋_GB2312" w:hAnsi="仿宋_GB2312" w:cs="仿宋_GB2312" w:eastAsia="仿宋_GB2312"/>
                <w:sz w:val="22"/>
              </w:rPr>
              <w:t>曲江新区环卫车队员工餐厅位于西安绕城高速南侧长鸣路西，曲江新区城市服务站项目部院内。</w:t>
            </w:r>
            <w:r>
              <w:rPr>
                <w:rFonts w:ascii="仿宋_GB2312" w:hAnsi="仿宋_GB2312" w:cs="仿宋_GB2312" w:eastAsia="仿宋_GB2312"/>
                <w:sz w:val="22"/>
              </w:rPr>
              <w:t>2025年曲江环卫车队将有就餐人员115名。因工作需要，现需采购餐饮服务项目，内容包括：食材采购、餐饮服务、餐厅设备维护、环境保洁服务、餐厅公共秩序及消防服务,服务期限一年。</w:t>
            </w:r>
          </w:p>
          <w:p>
            <w:pPr>
              <w:pStyle w:val="null3"/>
              <w:spacing w:before="105" w:after="105"/>
              <w:ind w:firstLine="440"/>
              <w:jc w:val="left"/>
            </w:pPr>
            <w:r>
              <w:rPr>
                <w:rFonts w:ascii="仿宋_GB2312" w:hAnsi="仿宋_GB2312" w:cs="仿宋_GB2312" w:eastAsia="仿宋_GB2312"/>
                <w:sz w:val="22"/>
              </w:rPr>
              <w:t>每年</w:t>
            </w:r>
            <w:r>
              <w:rPr>
                <w:rFonts w:ascii="仿宋_GB2312" w:hAnsi="仿宋_GB2312" w:cs="仿宋_GB2312" w:eastAsia="仿宋_GB2312"/>
                <w:sz w:val="22"/>
              </w:rPr>
              <w:t>3月15日至11月15日期间每日分为早、午、晚、夜4餐。每年11月16日至次年3月14日为每日三餐制，具体就餐安排由甲方确定。</w:t>
            </w:r>
          </w:p>
          <w:p>
            <w:pPr>
              <w:pStyle w:val="null3"/>
              <w:ind w:firstLine="442"/>
              <w:jc w:val="left"/>
            </w:pPr>
            <w:r>
              <w:rPr>
                <w:rFonts w:ascii="仿宋_GB2312" w:hAnsi="仿宋_GB2312" w:cs="仿宋_GB2312" w:eastAsia="仿宋_GB2312"/>
                <w:sz w:val="22"/>
                <w:b/>
              </w:rPr>
              <w:t>二、采购内容</w:t>
            </w:r>
          </w:p>
          <w:p>
            <w:pPr>
              <w:pStyle w:val="null3"/>
              <w:spacing w:before="105" w:after="105"/>
              <w:ind w:firstLine="440"/>
              <w:jc w:val="left"/>
            </w:pPr>
            <w:r>
              <w:rPr>
                <w:rFonts w:ascii="仿宋_GB2312" w:hAnsi="仿宋_GB2312" w:cs="仿宋_GB2312" w:eastAsia="仿宋_GB2312"/>
                <w:sz w:val="22"/>
              </w:rPr>
              <w:t>1、企业资质要求：供应商应具有合法注册的法人或其他组织的营业执照；（开展食品加工生产活动应符合《中华人民共和国食品安全法》、《中华人民共和国安全生产法》、卫生部《餐饮业食品卫生管理办法》等法律、法规，具备有效的《食品经营许可证》。）</w:t>
            </w:r>
          </w:p>
          <w:p>
            <w:pPr>
              <w:pStyle w:val="null3"/>
              <w:spacing w:before="105" w:after="105"/>
              <w:ind w:firstLine="440"/>
              <w:jc w:val="left"/>
            </w:pPr>
            <w:r>
              <w:rPr>
                <w:rFonts w:ascii="仿宋_GB2312" w:hAnsi="仿宋_GB2312" w:cs="仿宋_GB2312" w:eastAsia="仿宋_GB2312"/>
                <w:sz w:val="22"/>
              </w:rPr>
              <w:t>2、该项目的食材采购费、物业管理费均为暂定价，届时据实结算；</w:t>
            </w:r>
          </w:p>
          <w:p>
            <w:pPr>
              <w:pStyle w:val="null3"/>
              <w:spacing w:before="105" w:after="105"/>
              <w:ind w:firstLine="440"/>
              <w:jc w:val="left"/>
            </w:pPr>
            <w:r>
              <w:rPr>
                <w:rFonts w:ascii="仿宋_GB2312" w:hAnsi="仿宋_GB2312" w:cs="仿宋_GB2312" w:eastAsia="仿宋_GB2312"/>
                <w:sz w:val="22"/>
              </w:rPr>
              <w:t>3、食材采购：包含但不限于米、面、油、蔬菜、水果、调味品、干货（需提供品牌的）、肉类等食材的采购；供应商相关采购流程应合法合规，且需按照采购人要求积极提升餐厅菜品及服务质量，不得因食品原材料价格的波动降低菜品质量。严控采购货源，需冷链配送的均要保证冷链配送，食材采购必须保障新鲜、绿色环保、无公害、无污染。确保餐具定时消毒及定期更换维修，不得拖延，建立食材配送台账，动态跟踪，明确工作责任，确保食材的新鲜度和质量，保证食品安全。</w:t>
            </w:r>
          </w:p>
          <w:p>
            <w:pPr>
              <w:pStyle w:val="null3"/>
              <w:spacing w:before="105" w:after="105"/>
              <w:ind w:firstLine="440"/>
              <w:jc w:val="left"/>
            </w:pPr>
            <w:r>
              <w:rPr>
                <w:rFonts w:ascii="仿宋_GB2312" w:hAnsi="仿宋_GB2312" w:cs="仿宋_GB2312" w:eastAsia="仿宋_GB2312"/>
                <w:sz w:val="22"/>
              </w:rPr>
              <w:t>4、食材加工、储备：食材在粗加工前，要摘好分类洗净，在干净的水池冲泡冲洗三遍以上，在细加工之前，做到生熟食品分开，容器分开，工作区分开，杜绝交叉感染。同时自觉接受住建局监督及食品安全监管部门监管。食材储存按照《中华人民共和国食品安全法》建立各类食品储存管理制度。详细记录入库物品的名称产地、进货日期、生产日期、保质期、索证情况。并按分类入库时间先后分类存放，以免储存时间过长发霉生虫。库房管理做到物品堆放整齐，归类有序，物品摆放整齐标识清晰，墙壁无蛛网，室内无蚊蝇鼠患。肉禽类存放及半成品存放区分设立独立冰柜。</w:t>
            </w:r>
          </w:p>
          <w:p>
            <w:pPr>
              <w:pStyle w:val="null3"/>
              <w:spacing w:before="105" w:after="105"/>
              <w:ind w:firstLine="440"/>
              <w:jc w:val="left"/>
            </w:pPr>
            <w:r>
              <w:rPr>
                <w:rFonts w:ascii="仿宋_GB2312" w:hAnsi="仿宋_GB2312" w:cs="仿宋_GB2312" w:eastAsia="仿宋_GB2312"/>
                <w:sz w:val="22"/>
              </w:rPr>
              <w:t>5、人员要求：供应商应在本项目服务期内建立服务团队，以筹划、实施和管理本项目餐饮服务的整个过程。应制订科学、合理的人力资源计划（包括团队的组织架构，员工的来源、招聘、培训、管理等计划），并提交采购人审核。供应商在操作过程中，必须足额配备7名餐厅服务从业人员（具备有效的健康资格证，年龄在18-50岁之间）。所有工作人员工作期间应穿戴工服，注意卫生防护，按时完成每日供餐的配菜、制作、摆放、清洗及环境卫生并负责厨余垃圾清运工作。</w:t>
            </w:r>
          </w:p>
          <w:p>
            <w:pPr>
              <w:pStyle w:val="null3"/>
              <w:spacing w:before="105" w:after="105"/>
              <w:ind w:firstLine="440"/>
              <w:jc w:val="left"/>
            </w:pPr>
            <w:r>
              <w:rPr>
                <w:rFonts w:ascii="仿宋_GB2312" w:hAnsi="仿宋_GB2312" w:cs="仿宋_GB2312" w:eastAsia="仿宋_GB2312"/>
                <w:sz w:val="22"/>
              </w:rPr>
              <w:t>6、餐厅设备设施管理及其它服务要求：供应商负责对餐厅现有设备设施的日常管理及维护维修。</w:t>
            </w:r>
          </w:p>
          <w:p>
            <w:pPr>
              <w:pStyle w:val="null3"/>
              <w:spacing w:before="105" w:after="105"/>
              <w:jc w:val="left"/>
            </w:pPr>
            <w:r>
              <w:rPr>
                <w:rFonts w:ascii="仿宋_GB2312" w:hAnsi="仿宋_GB2312" w:cs="仿宋_GB2312" w:eastAsia="仿宋_GB2312"/>
                <w:sz w:val="22"/>
              </w:rPr>
              <w:t xml:space="preserve">  （1）水、电、气设施管线管路每日巡检1次。</w:t>
            </w:r>
          </w:p>
          <w:p>
            <w:pPr>
              <w:pStyle w:val="null3"/>
              <w:spacing w:before="105" w:after="105"/>
              <w:jc w:val="left"/>
            </w:pPr>
            <w:r>
              <w:rPr>
                <w:rFonts w:ascii="仿宋_GB2312" w:hAnsi="仿宋_GB2312" w:cs="仿宋_GB2312" w:eastAsia="仿宋_GB2312"/>
                <w:sz w:val="22"/>
              </w:rPr>
              <w:t xml:space="preserve">  （2）餐厅设备每月定期进行维护1次。</w:t>
            </w:r>
          </w:p>
          <w:p>
            <w:pPr>
              <w:pStyle w:val="null3"/>
              <w:spacing w:before="105" w:after="105"/>
              <w:jc w:val="left"/>
            </w:pPr>
            <w:r>
              <w:rPr>
                <w:rFonts w:ascii="仿宋_GB2312" w:hAnsi="仿宋_GB2312" w:cs="仿宋_GB2312" w:eastAsia="仿宋_GB2312"/>
                <w:sz w:val="22"/>
              </w:rPr>
              <w:t xml:space="preserve">  （3）餐具每日必须严格清洗进行消毒处理。</w:t>
            </w:r>
          </w:p>
          <w:p>
            <w:pPr>
              <w:pStyle w:val="null3"/>
              <w:spacing w:before="105" w:after="105"/>
              <w:jc w:val="left"/>
            </w:pPr>
            <w:r>
              <w:rPr>
                <w:rFonts w:ascii="仿宋_GB2312" w:hAnsi="仿宋_GB2312" w:cs="仿宋_GB2312" w:eastAsia="仿宋_GB2312"/>
                <w:sz w:val="22"/>
              </w:rPr>
              <w:t xml:space="preserve">  （4）烟机烟道每季度清洗1次。</w:t>
            </w:r>
          </w:p>
          <w:p>
            <w:pPr>
              <w:pStyle w:val="null3"/>
              <w:spacing w:before="105" w:after="105"/>
              <w:jc w:val="left"/>
            </w:pPr>
            <w:r>
              <w:rPr>
                <w:rFonts w:ascii="仿宋_GB2312" w:hAnsi="仿宋_GB2312" w:cs="仿宋_GB2312" w:eastAsia="仿宋_GB2312"/>
                <w:sz w:val="22"/>
              </w:rPr>
              <w:t xml:space="preserve">  （5）砧板及操作台面消杀除菌每周1次。</w:t>
            </w:r>
          </w:p>
          <w:p>
            <w:pPr>
              <w:pStyle w:val="null3"/>
              <w:spacing w:before="105" w:after="105"/>
              <w:jc w:val="left"/>
            </w:pPr>
            <w:r>
              <w:rPr>
                <w:rFonts w:ascii="仿宋_GB2312" w:hAnsi="仿宋_GB2312" w:cs="仿宋_GB2312" w:eastAsia="仿宋_GB2312"/>
                <w:sz w:val="22"/>
              </w:rPr>
              <w:t xml:space="preserve">  （6）蟑螂鼠患预防灭杀每月1次。</w:t>
            </w:r>
          </w:p>
          <w:p>
            <w:pPr>
              <w:pStyle w:val="null3"/>
              <w:spacing w:before="105" w:after="105"/>
              <w:jc w:val="left"/>
            </w:pPr>
            <w:r>
              <w:rPr>
                <w:rFonts w:ascii="仿宋_GB2312" w:hAnsi="仿宋_GB2312" w:cs="仿宋_GB2312" w:eastAsia="仿宋_GB2312"/>
                <w:sz w:val="22"/>
              </w:rPr>
              <w:t xml:space="preserve">  （7）建立突发事件应急处理预案。杜绝安全事故发生，对存在安全隐患较高的蒸箱、烤箱、和面机、压面机、绞肉机、燃气炉灶等设备，指定专人使用、专人管理并明确操作规程。保障餐厅正常经营,生产环境安全,防范火灾发生。</w:t>
            </w:r>
          </w:p>
          <w:p>
            <w:pPr>
              <w:pStyle w:val="null3"/>
              <w:spacing w:before="105" w:after="105"/>
              <w:jc w:val="left"/>
            </w:pPr>
            <w:r>
              <w:rPr>
                <w:rFonts w:ascii="仿宋_GB2312" w:hAnsi="仿宋_GB2312" w:cs="仿宋_GB2312" w:eastAsia="仿宋_GB2312"/>
                <w:sz w:val="22"/>
              </w:rPr>
              <w:t xml:space="preserve">  （8）能够根据曲江新区环卫车队工作实际，做好每日用餐服务；熟悉设备规范操作管理，确保新鲜、多样、快捷、安全、高效提供餐饮服务工作；结合餐厅实际管理要求制定切实可行的管理制度，每日维护好就餐秩序，每日供餐食品应及时留样。</w:t>
            </w:r>
          </w:p>
          <w:p>
            <w:pPr>
              <w:pStyle w:val="null3"/>
              <w:spacing w:before="105" w:after="105"/>
              <w:ind w:firstLine="440"/>
              <w:jc w:val="left"/>
            </w:pPr>
            <w:r>
              <w:rPr>
                <w:rFonts w:ascii="仿宋_GB2312" w:hAnsi="仿宋_GB2312" w:cs="仿宋_GB2312" w:eastAsia="仿宋_GB2312"/>
                <w:sz w:val="22"/>
              </w:rPr>
              <w:t>7、物业管理：餐厅所用厨具更换、维修必须及时，不得拖延。</w:t>
            </w:r>
          </w:p>
          <w:p>
            <w:pPr>
              <w:pStyle w:val="null3"/>
              <w:spacing w:before="105" w:after="105"/>
              <w:ind w:firstLine="440"/>
              <w:jc w:val="left"/>
            </w:pPr>
            <w:r>
              <w:rPr>
                <w:rFonts w:ascii="仿宋_GB2312" w:hAnsi="仿宋_GB2312" w:cs="仿宋_GB2312" w:eastAsia="仿宋_GB2312"/>
                <w:sz w:val="22"/>
              </w:rPr>
              <w:t>8、严格执行绩效考核制度，最终评定结果与结算金额挂钩。（以采购人的考核标准为依据）</w:t>
            </w:r>
          </w:p>
          <w:p>
            <w:pPr>
              <w:pStyle w:val="null3"/>
              <w:ind w:firstLine="442"/>
              <w:jc w:val="left"/>
            </w:pPr>
            <w:r>
              <w:rPr>
                <w:rFonts w:ascii="仿宋_GB2312" w:hAnsi="仿宋_GB2312" w:cs="仿宋_GB2312" w:eastAsia="仿宋_GB2312"/>
                <w:sz w:val="22"/>
                <w:b/>
              </w:rPr>
              <w:t>三、采购需求</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w:t>
            </w:r>
            <w:r>
              <w:rPr>
                <w:rFonts w:ascii="仿宋_GB2312" w:hAnsi="仿宋_GB2312" w:cs="仿宋_GB2312" w:eastAsia="仿宋_GB2312"/>
                <w:sz w:val="22"/>
              </w:rPr>
              <w:t>供餐要求：</w:t>
            </w:r>
          </w:p>
          <w:p>
            <w:pPr>
              <w:pStyle w:val="null3"/>
              <w:ind w:firstLine="440"/>
              <w:jc w:val="left"/>
            </w:pPr>
            <w:r>
              <w:rPr>
                <w:rFonts w:ascii="仿宋_GB2312" w:hAnsi="仿宋_GB2312" w:cs="仿宋_GB2312" w:eastAsia="仿宋_GB2312"/>
                <w:sz w:val="22"/>
              </w:rPr>
              <w:t>1、</w:t>
            </w:r>
            <w:r>
              <w:rPr>
                <w:rFonts w:ascii="仿宋_GB2312" w:hAnsi="仿宋_GB2312" w:cs="仿宋_GB2312" w:eastAsia="仿宋_GB2312"/>
                <w:sz w:val="22"/>
              </w:rPr>
              <w:t>能够根据曲江新区环卫车队工作实际，做好每日用餐服务</w:t>
            </w:r>
            <w:r>
              <w:rPr>
                <w:rFonts w:ascii="仿宋_GB2312" w:hAnsi="仿宋_GB2312" w:cs="仿宋_GB2312" w:eastAsia="仿宋_GB2312"/>
                <w:sz w:val="22"/>
              </w:rPr>
              <w:t>(3月15日至11月15日每日4餐、11月16日至次年3月14日每日3餐)；</w:t>
            </w:r>
          </w:p>
          <w:p>
            <w:pPr>
              <w:pStyle w:val="null3"/>
              <w:ind w:firstLine="440"/>
              <w:jc w:val="left"/>
            </w:pPr>
            <w:r>
              <w:rPr>
                <w:rFonts w:ascii="仿宋_GB2312" w:hAnsi="仿宋_GB2312" w:cs="仿宋_GB2312" w:eastAsia="仿宋_GB2312"/>
                <w:sz w:val="22"/>
              </w:rPr>
              <w:t>2、供餐内容：</w:t>
            </w:r>
          </w:p>
          <w:p>
            <w:pPr>
              <w:pStyle w:val="null3"/>
              <w:ind w:firstLine="440"/>
              <w:jc w:val="left"/>
            </w:pPr>
            <w:r>
              <w:rPr>
                <w:rFonts w:ascii="仿宋_GB2312" w:hAnsi="仿宋_GB2312" w:cs="仿宋_GB2312" w:eastAsia="仿宋_GB2312"/>
                <w:sz w:val="22"/>
              </w:rPr>
              <w:t>早餐：稀饭</w:t>
            </w:r>
            <w:r>
              <w:rPr>
                <w:rFonts w:ascii="仿宋_GB2312" w:hAnsi="仿宋_GB2312" w:cs="仿宋_GB2312" w:eastAsia="仿宋_GB2312"/>
                <w:sz w:val="22"/>
              </w:rPr>
              <w:t>(各类稀饭一种+醪糟或+胡辣汤或+豆腐脑)、馒头或烧饼或油饼、两样小菜（春夏秋季为凉菜、冬季为热菜）、酸奶和鸡蛋（隔天互换）；</w:t>
            </w:r>
          </w:p>
          <w:p>
            <w:pPr>
              <w:pStyle w:val="null3"/>
              <w:ind w:firstLine="440"/>
              <w:jc w:val="left"/>
            </w:pPr>
            <w:r>
              <w:rPr>
                <w:rFonts w:ascii="仿宋_GB2312" w:hAnsi="仿宋_GB2312" w:cs="仿宋_GB2312" w:eastAsia="仿宋_GB2312"/>
                <w:sz w:val="22"/>
              </w:rPr>
              <w:t>午餐：米饭</w:t>
            </w:r>
            <w:r>
              <w:rPr>
                <w:rFonts w:ascii="仿宋_GB2312" w:hAnsi="仿宋_GB2312" w:cs="仿宋_GB2312" w:eastAsia="仿宋_GB2312"/>
                <w:sz w:val="22"/>
              </w:rPr>
              <w:t>+两荤三素+一汤+水果\手工面条（臊子、油泼、牛肉干拌、）+两素小菜或一荤小菜+一汤+水果\饺子+两素小菜或一荤小菜+一汤+水果\泡馍或水盆两素小菜或一荤小菜+一汤+水果（隔天调整）；</w:t>
            </w:r>
          </w:p>
          <w:p>
            <w:pPr>
              <w:pStyle w:val="null3"/>
              <w:ind w:firstLine="440"/>
              <w:jc w:val="left"/>
            </w:pPr>
            <w:r>
              <w:rPr>
                <w:rFonts w:ascii="仿宋_GB2312" w:hAnsi="仿宋_GB2312" w:cs="仿宋_GB2312" w:eastAsia="仿宋_GB2312"/>
                <w:sz w:val="22"/>
              </w:rPr>
              <w:t>晚餐：稀饭馒头或米线肉夹馍或旗花面馒头或烩麻食馒头</w:t>
            </w:r>
            <w:r>
              <w:rPr>
                <w:rFonts w:ascii="仿宋_GB2312" w:hAnsi="仿宋_GB2312" w:cs="仿宋_GB2312" w:eastAsia="仿宋_GB2312"/>
                <w:sz w:val="22"/>
              </w:rPr>
              <w:t>+两样素小菜或一荤小菜\稀饭+凉皮+肉夹馍；（隔天调整）</w:t>
            </w:r>
          </w:p>
          <w:p>
            <w:pPr>
              <w:pStyle w:val="null3"/>
              <w:ind w:firstLine="440"/>
              <w:jc w:val="left"/>
            </w:pPr>
            <w:r>
              <w:rPr>
                <w:rFonts w:ascii="仿宋_GB2312" w:hAnsi="仿宋_GB2312" w:cs="仿宋_GB2312" w:eastAsia="仿宋_GB2312"/>
                <w:sz w:val="22"/>
              </w:rPr>
              <w:t>夜宵：老陕菜</w:t>
            </w:r>
            <w:r>
              <w:rPr>
                <w:rFonts w:ascii="仿宋_GB2312" w:hAnsi="仿宋_GB2312" w:cs="仿宋_GB2312" w:eastAsia="仿宋_GB2312"/>
                <w:sz w:val="22"/>
              </w:rPr>
              <w:t>+稀饭+馒头\一荤一素小菜+稀饭+馒头\稀饭+炒米饭+一荤或一素小菜\旗花面+馒头+一荤或一素小菜（隔天调整）。</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二</w:t>
            </w:r>
            <w:r>
              <w:rPr>
                <w:rFonts w:ascii="仿宋_GB2312" w:hAnsi="仿宋_GB2312" w:cs="仿宋_GB2312" w:eastAsia="仿宋_GB2312"/>
                <w:sz w:val="22"/>
              </w:rPr>
              <w:t>）</w:t>
            </w:r>
            <w:r>
              <w:rPr>
                <w:rFonts w:ascii="仿宋_GB2312" w:hAnsi="仿宋_GB2312" w:cs="仿宋_GB2312" w:eastAsia="仿宋_GB2312"/>
                <w:sz w:val="22"/>
              </w:rPr>
              <w:t>项目预期实现目标：</w:t>
            </w:r>
          </w:p>
          <w:p>
            <w:pPr>
              <w:pStyle w:val="null3"/>
              <w:spacing w:before="105" w:after="105"/>
              <w:ind w:firstLine="440"/>
              <w:jc w:val="left"/>
            </w:pPr>
            <w:r>
              <w:rPr>
                <w:rFonts w:ascii="仿宋_GB2312" w:hAnsi="仿宋_GB2312" w:cs="仿宋_GB2312" w:eastAsia="仿宋_GB2312"/>
                <w:sz w:val="22"/>
              </w:rPr>
              <w:t>1、</w:t>
            </w:r>
            <w:r>
              <w:rPr>
                <w:rFonts w:ascii="仿宋_GB2312" w:hAnsi="仿宋_GB2312" w:cs="仿宋_GB2312" w:eastAsia="仿宋_GB2312"/>
                <w:sz w:val="22"/>
              </w:rPr>
              <w:t>保障曲江新区环卫车队员工就餐；</w:t>
            </w:r>
          </w:p>
          <w:p>
            <w:pPr>
              <w:pStyle w:val="null3"/>
              <w:spacing w:before="105" w:after="105"/>
              <w:ind w:firstLine="440"/>
              <w:jc w:val="left"/>
            </w:pPr>
            <w:r>
              <w:rPr>
                <w:rFonts w:ascii="仿宋_GB2312" w:hAnsi="仿宋_GB2312" w:cs="仿宋_GB2312" w:eastAsia="仿宋_GB2312"/>
                <w:sz w:val="22"/>
              </w:rPr>
              <w:t>2、</w:t>
            </w:r>
            <w:r>
              <w:rPr>
                <w:rFonts w:ascii="仿宋_GB2312" w:hAnsi="仿宋_GB2312" w:cs="仿宋_GB2312" w:eastAsia="仿宋_GB2312"/>
                <w:sz w:val="22"/>
              </w:rPr>
              <w:t>实现环卫车队餐厅规范化管理，餐厅卫生干净整洁、品种多样、营养搭配合理、食品安全、厨房管理安全到位；</w:t>
            </w:r>
          </w:p>
          <w:p>
            <w:pPr>
              <w:pStyle w:val="null3"/>
              <w:spacing w:before="105" w:after="105"/>
              <w:ind w:firstLine="440"/>
              <w:jc w:val="left"/>
            </w:pPr>
            <w:r>
              <w:rPr>
                <w:rFonts w:ascii="仿宋_GB2312" w:hAnsi="仿宋_GB2312" w:cs="仿宋_GB2312" w:eastAsia="仿宋_GB2312"/>
                <w:sz w:val="22"/>
              </w:rPr>
              <w:t>3、</w:t>
            </w:r>
            <w:r>
              <w:rPr>
                <w:rFonts w:ascii="仿宋_GB2312" w:hAnsi="仿宋_GB2312" w:cs="仿宋_GB2312" w:eastAsia="仿宋_GB2312"/>
                <w:sz w:val="22"/>
              </w:rPr>
              <w:t>保障曲江新区环卫车队的各项工作有序开展。</w:t>
            </w:r>
          </w:p>
          <w:p>
            <w:pPr>
              <w:pStyle w:val="null3"/>
              <w:spacing w:before="105" w:after="105"/>
              <w:ind w:firstLine="442"/>
              <w:jc w:val="left"/>
            </w:pPr>
            <w:r>
              <w:rPr>
                <w:rFonts w:ascii="仿宋_GB2312" w:hAnsi="仿宋_GB2312" w:cs="仿宋_GB2312" w:eastAsia="仿宋_GB2312"/>
                <w:sz w:val="22"/>
                <w:b/>
              </w:rPr>
              <w:t>四、服务期：一年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曲江新区城市服务站项目部院内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乙方应于每季度末25日前向甲方提供食材采购、物业管理费用明细，经甲方确认无误后，据实结算，由乙方开具等额增值税普通发票，甲方以转账形式打入乙方指定银行账户 ，达到付款条件起 30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2.发布结果公告后，成交供应商应向采购人提交一正两副，书籍（胶装）方式装订的纸质文件（与电子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（1）供应商应具有独立承担民事责任的能力的企业法人、事业法人、其他组织或自然人，出具合法有效的营业执照等相关证明文件，自然人参与的提供其身份证明； （2）财务状况报告：提供经审计的2023年度或2024年度财务报告或开标前六个月内其本公司银行账户出具的资信证明；（3）税收缴纳证明：供应商提供截止至开标时间前六个月任一月份的缴费凭据；依法免税的应提供相关文件证明； （4）社会保障资金缴纳证明：供应商提供截止至开标时间前六个月任一月份的缴费凭据或社保机构开具的社会保险参保缴费情况证明；依法不需要缴纳社会保障资金的应提供相关文件证明； （5）供应商提供具有履行本合同所必需的设备和专业技术能力的承诺函；（6）供应商提供参加政府采购活动前三年内在经营活动中没有重大违法记录的承诺函；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具有良好的商业信誉和健全的财务会计制度。（供应商应提供 2023年或2024年经审计的财务报告或银行出具的资信证明）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供应商须具有合格有效的食品经营许可证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w:t>
            </w:r>
          </w:p>
        </w:tc>
        <w:tc>
          <w:tcPr>
            <w:tcW w:type="dxa" w:w="3322"/>
          </w:tcPr>
          <w:p>
            <w:pPr>
              <w:pStyle w:val="null3"/>
            </w:pPr>
            <w:r>
              <w:rPr>
                <w:rFonts w:ascii="仿宋_GB2312" w:hAnsi="仿宋_GB2312" w:cs="仿宋_GB2312" w:eastAsia="仿宋_GB2312"/>
              </w:rPr>
              <w:t>磋商响应文件按磋商文件要求法定代表人（或负责人）或其授权代表签字</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首次响应报价明细表.docx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首次响应报价明细表.docx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暂定价</w:t>
            </w:r>
          </w:p>
        </w:tc>
        <w:tc>
          <w:tcPr>
            <w:tcW w:type="dxa" w:w="3322"/>
          </w:tcPr>
          <w:p>
            <w:pPr>
              <w:pStyle w:val="null3"/>
            </w:pPr>
            <w:r>
              <w:rPr>
                <w:rFonts w:ascii="仿宋_GB2312" w:hAnsi="仿宋_GB2312" w:cs="仿宋_GB2312" w:eastAsia="仿宋_GB2312"/>
              </w:rPr>
              <w:t>暂定价与竞争性磋商文件要求金额一致</w:t>
            </w:r>
          </w:p>
        </w:tc>
        <w:tc>
          <w:tcPr>
            <w:tcW w:type="dxa" w:w="1661"/>
          </w:tcPr>
          <w:p>
            <w:pPr>
              <w:pStyle w:val="null3"/>
            </w:pPr>
            <w:r>
              <w:rPr>
                <w:rFonts w:ascii="仿宋_GB2312" w:hAnsi="仿宋_GB2312" w:cs="仿宋_GB2312" w:eastAsia="仿宋_GB2312"/>
              </w:rPr>
              <w:t>首次响应报价明细表.docx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经过资格审查合格的供应商，响应文件中对服务时间、付款等方面进行响应说明，按其响应程度计0～5分。无响应说明的不计分。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1、根据食品质量控制方案、食材管理及保存管理措施方案、等综合评定，按其响应程度计0～5分。 2、根据厨房及餐厅保洁方案、维持餐厅公共秩序及消防服务措施方案进行评审。按其响应程度计0～5分。 3、确保食物安全性、卫生性、包装环保性。按其响应程度计0～5分。 4、根据提供食谱的营养搭配、品种及口味进行赋分。按其响应程度计0～5分。 5、在保证菜肴质量的前提下，并不断开发新菜品，确保供应品种多样化。按其响应程度计0～5分。 6、根据食品安全管理制度，餐厅经营管理制度等。按其响应程度计0～5分。 7、服务计划书详细、合理、全面，按其响应程度计0～5分。 8、针对本项目服务对象，周边环境及项目特点分析，对餐厅制定的服务方案。按其响应程度计0～5分。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w:t>
            </w:r>
          </w:p>
        </w:tc>
        <w:tc>
          <w:tcPr>
            <w:tcW w:type="dxa" w:w="2492"/>
          </w:tcPr>
          <w:p>
            <w:pPr>
              <w:pStyle w:val="null3"/>
            </w:pPr>
            <w:r>
              <w:rPr>
                <w:rFonts w:ascii="仿宋_GB2312" w:hAnsi="仿宋_GB2312" w:cs="仿宋_GB2312" w:eastAsia="仿宋_GB2312"/>
              </w:rPr>
              <w:t>1、食品安全的保证措施，按其响应程度计0～5分。 2、食品危机管理应急方案，按其响应程度计0～5分。 3、食材货源渠道正常有质量保证。按其响应程度计0～5分。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项目人员配备及质量保证</w:t>
            </w:r>
          </w:p>
        </w:tc>
        <w:tc>
          <w:tcPr>
            <w:tcW w:type="dxa" w:w="2492"/>
          </w:tcPr>
          <w:p>
            <w:pPr>
              <w:pStyle w:val="null3"/>
            </w:pPr>
            <w:r>
              <w:rPr>
                <w:rFonts w:ascii="仿宋_GB2312" w:hAnsi="仿宋_GB2312" w:cs="仿宋_GB2312" w:eastAsia="仿宋_GB2312"/>
              </w:rPr>
              <w:t>1、服务质量自检措施。按其响应程度计0～5分。 2、有完整的成本控制方案及措施。按其响应程度计0～5分； 3、根据供应商的服务承诺内容，按其响应程度计0～5分。 4、餐厅人员配置合理，岗位分工明晰，职责明确、具备健康证明等按其响应情况，按其响应程度计0～5分。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供应商提供2022年1月1日至今（以合同签订日期为准）同类型项目业绩，业绩以合同或中标（成交）通知书为依据，响应文件中附有其证明资料，每提供一个业绩证明计2分，满分10分。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首次响应报价明细表.docx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详见附件：首次响应报价明细表.docx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