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版本号：SXXDDL-【2025】03520250804001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曲江新区汉风台空气质量观测点监测运维服务项目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SXXDDL-【2025】035</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曲江新区汉风台空气质量观测点监测运维服务项目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曲江新区汉风台空气质量观测点监测运维服务项目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为进一步优化我区空气质量监测体系,提前掌握省控子站备选点位区域监测底数和空气质量水平,为改善省控子站监测指标提供数据支撑,拟对汉风台观测点配置监测仪器并开展运维服务。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采购包1（曲江新区汉风台空气质量观测点监测运维服务项目）：属于专门面向中小企业采购。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029-81201542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按计价格[2002]1980号规定标准计算成交服务费低于5000元的，按5000元收取。由成交供应商在领取中标同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为进一步优化我区空气质量监测体系,提前掌握省控子站备选点位区域监测底数和空气质量水平,为改善省控子站监测指标提供数据支撑,拟对汉风台观测点配置监测仪器并开展运维服务。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曲江新区汉风台空气质量观测点监测运维服务项目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标的名称：曲江新区汉风台空气质量观测点监测运维服务项目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一、维修服务项目</w:t>
            </w:r>
          </w:p>
          <w:tbl>
            <w:tblPr>
              <w:tblInd w:type="dxa" w:w="135"/>
              <w:tblBorders>
                <w:top w:val="none" w:color="000000" w:sz="4"/>
                <w:left w:val="none" w:color="000000" w:sz="4"/>
                <w:bottom w:val="none" w:color="000000" w:sz="4"/>
                <w:right w:val="none" w:color="000000" w:sz="4"/>
                <w:insideH w:val="none"/>
                <w:insideV w:val="none"/>
              </w:tblBorders>
            </w:tblPr>
            <w:tblGrid>
              <w:gridCol w:w="270"/>
              <w:gridCol w:w="692"/>
              <w:gridCol w:w="1180"/>
              <w:gridCol w:w="397"/>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维修服务项目</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PM2.5</w:t>
                  </w:r>
                  <w:r>
                    <w:rPr>
                      <w:rFonts w:ascii="仿宋_GB2312" w:hAnsi="仿宋_GB2312" w:cs="仿宋_GB2312" w:eastAsia="仿宋_GB2312"/>
                      <w:sz w:val="21"/>
                    </w:rPr>
                    <w:t>设备型号</w:t>
                  </w:r>
                  <w:r>
                    <w:rPr>
                      <w:rFonts w:ascii="仿宋_GB2312" w:hAnsi="仿宋_GB2312" w:cs="仿宋_GB2312" w:eastAsia="仿宋_GB2312"/>
                      <w:sz w:val="21"/>
                    </w:rPr>
                    <w:t>:</w:t>
                  </w:r>
                  <w:r>
                    <w:rPr>
                      <w:rFonts w:ascii="仿宋_GB2312" w:hAnsi="仿宋_GB2312" w:cs="仿宋_GB2312" w:eastAsia="仿宋_GB2312"/>
                      <w:sz w:val="21"/>
                      <w:shd w:fill="FFFFFF" w:val="clear"/>
                    </w:rPr>
                    <w:t>热电</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5030i维修项目</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加热杆更换</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浊度计更换</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温湿度传感器维修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PM</w:t>
                  </w:r>
                  <w:r>
                    <w:rPr>
                      <w:rFonts w:ascii="仿宋_GB2312" w:hAnsi="仿宋_GB2312" w:cs="仿宋_GB2312" w:eastAsia="仿宋_GB2312"/>
                      <w:sz w:val="21"/>
                      <w:shd w:fill="FFFFFF" w:val="clear"/>
                    </w:rPr>
                    <w:t>10</w:t>
                  </w:r>
                  <w:r>
                    <w:rPr>
                      <w:rFonts w:ascii="仿宋_GB2312" w:hAnsi="仿宋_GB2312" w:cs="仿宋_GB2312" w:eastAsia="仿宋_GB2312"/>
                      <w:sz w:val="21"/>
                    </w:rPr>
                    <w:t>设备型号</w:t>
                  </w:r>
                  <w:r>
                    <w:rPr>
                      <w:rFonts w:ascii="仿宋_GB2312" w:hAnsi="仿宋_GB2312" w:cs="仿宋_GB2312" w:eastAsia="仿宋_GB2312"/>
                      <w:sz w:val="21"/>
                    </w:rPr>
                    <w:t>:</w:t>
                  </w:r>
                  <w:r>
                    <w:rPr>
                      <w:rFonts w:ascii="仿宋_GB2312" w:hAnsi="仿宋_GB2312" w:cs="仿宋_GB2312" w:eastAsia="仿宋_GB2312"/>
                      <w:sz w:val="21"/>
                      <w:shd w:fill="FFFFFF" w:val="clear"/>
                    </w:rPr>
                    <w:t>热电</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C14维修项目</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采样平台</w:t>
                  </w:r>
                  <w:r>
                    <w:rPr>
                      <w:rFonts w:ascii="仿宋_GB2312" w:hAnsi="仿宋_GB2312" w:cs="仿宋_GB2312" w:eastAsia="仿宋_GB2312"/>
                      <w:sz w:val="21"/>
                      <w:shd w:fill="FFFFFF" w:val="clear"/>
                    </w:rPr>
                    <w:t>维修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none" w:color="000000" w:sz="4"/>
                    <w:right w:val="single" w:color="000000" w:sz="4"/>
                  </w:tcBorders>
                </w:tcPr>
                <w:p/>
              </w:tc>
              <w:tc>
                <w:tcPr>
                  <w:tcW w:type="dxa" w:w="692"/>
                  <w:vMerge/>
                  <w:tcBorders>
                    <w:top w:val="none" w:color="000000" w:sz="4"/>
                    <w:left w:val="none" w:color="000000" w:sz="4"/>
                    <w:bottom w:val="non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w:t>
                  </w:r>
                  <w:r>
                    <w:rPr>
                      <w:rFonts w:ascii="仿宋_GB2312" w:hAnsi="仿宋_GB2312" w:cs="仿宋_GB2312" w:eastAsia="仿宋_GB2312"/>
                      <w:sz w:val="21"/>
                    </w:rPr>
                    <w:t>PM10加热盒</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NO</w:t>
                  </w:r>
                  <w:r>
                    <w:rPr>
                      <w:rFonts w:ascii="仿宋_GB2312" w:hAnsi="仿宋_GB2312" w:cs="仿宋_GB2312" w:eastAsia="仿宋_GB2312"/>
                      <w:sz w:val="21"/>
                    </w:rPr>
                    <w:t>设备型号</w:t>
                  </w:r>
                  <w:r>
                    <w:rPr>
                      <w:rFonts w:ascii="仿宋_GB2312" w:hAnsi="仿宋_GB2312" w:cs="仿宋_GB2312" w:eastAsia="仿宋_GB2312"/>
                      <w:sz w:val="21"/>
                    </w:rPr>
                    <w:t>:</w:t>
                  </w:r>
                  <w:r>
                    <w:rPr>
                      <w:rFonts w:ascii="仿宋_GB2312" w:hAnsi="仿宋_GB2312" w:cs="仿宋_GB2312" w:eastAsia="仿宋_GB2312"/>
                      <w:sz w:val="21"/>
                      <w:shd w:fill="FFFFFF" w:val="clear"/>
                    </w:rPr>
                    <w:t>热电</w:t>
                  </w:r>
                  <w:r>
                    <w:rPr>
                      <w:rFonts w:ascii="仿宋_GB2312" w:hAnsi="仿宋_GB2312" w:cs="仿宋_GB2312" w:eastAsia="仿宋_GB2312"/>
                      <w:sz w:val="21"/>
                      <w:shd w:fill="FFFFFF" w:val="clear"/>
                    </w:rPr>
                    <w:t>-42i维修项目</w:t>
                  </w:r>
                </w:p>
              </w:tc>
              <w:tc>
                <w:tcPr>
                  <w:tcW w:type="dxa" w:w="1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反应室</w:t>
                  </w:r>
                  <w:r>
                    <w:rPr>
                      <w:rFonts w:ascii="仿宋_GB2312" w:hAnsi="仿宋_GB2312" w:cs="仿宋_GB2312" w:eastAsia="仿宋_GB2312"/>
                      <w:sz w:val="21"/>
                      <w:shd w:fill="FFFFFF" w:val="clear"/>
                    </w:rPr>
                    <w:t>维修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single" w:color="000000" w:sz="4"/>
                    <w:left w:val="single" w:color="000000" w:sz="4"/>
                    <w:bottom w:val="none" w:color="000000" w:sz="4"/>
                    <w:right w:val="single" w:color="000000" w:sz="4"/>
                  </w:tcBorders>
                </w:tcPr>
                <w:p/>
              </w:tc>
              <w:tc>
                <w:tcPr>
                  <w:tcW w:type="dxa" w:w="692"/>
                  <w:vMerge/>
                  <w:tcBorders>
                    <w:top w:val="single" w:color="000000" w:sz="4"/>
                    <w:left w:val="none" w:color="000000" w:sz="4"/>
                    <w:bottom w:val="none" w:color="000000" w:sz="4"/>
                    <w:right w:val="single" w:color="000000" w:sz="4"/>
                  </w:tcBorders>
                </w:tcPr>
                <w:p/>
              </w:tc>
              <w:tc>
                <w:tcPr>
                  <w:tcW w:type="dxa" w:w="11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冷堆更换</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single" w:color="000000" w:sz="4"/>
                    <w:left w:val="single" w:color="000000" w:sz="4"/>
                    <w:bottom w:val="none" w:color="000000" w:sz="4"/>
                    <w:right w:val="single" w:color="000000" w:sz="4"/>
                  </w:tcBorders>
                </w:tcPr>
                <w:p/>
              </w:tc>
              <w:tc>
                <w:tcPr>
                  <w:tcW w:type="dxa" w:w="692"/>
                  <w:vMerge/>
                  <w:tcBorders>
                    <w:top w:val="single" w:color="000000" w:sz="4"/>
                    <w:left w:val="none" w:color="000000" w:sz="4"/>
                    <w:bottom w:val="none" w:color="000000" w:sz="4"/>
                    <w:right w:val="single" w:color="000000" w:sz="4"/>
                  </w:tcBorders>
                </w:tcP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内置泵故障</w:t>
                  </w:r>
                  <w:r>
                    <w:rPr>
                      <w:rFonts w:ascii="仿宋_GB2312" w:hAnsi="仿宋_GB2312" w:cs="仿宋_GB2312" w:eastAsia="仿宋_GB2312"/>
                      <w:sz w:val="21"/>
                      <w:shd w:fill="FFFFFF" w:val="clear"/>
                    </w:rPr>
                    <w:t>维修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single" w:color="000000" w:sz="4"/>
                    <w:left w:val="single" w:color="000000" w:sz="4"/>
                    <w:bottom w:val="none" w:color="000000" w:sz="4"/>
                    <w:right w:val="single" w:color="000000" w:sz="4"/>
                  </w:tcBorders>
                </w:tcPr>
                <w:p/>
              </w:tc>
              <w:tc>
                <w:tcPr>
                  <w:tcW w:type="dxa" w:w="692"/>
                  <w:vMerge/>
                  <w:tcBorders>
                    <w:top w:val="single" w:color="000000" w:sz="4"/>
                    <w:left w:val="none" w:color="000000" w:sz="4"/>
                    <w:bottom w:val="non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更换钼炉转换器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CO</w:t>
                  </w:r>
                  <w:r>
                    <w:rPr>
                      <w:rFonts w:ascii="仿宋_GB2312" w:hAnsi="仿宋_GB2312" w:cs="仿宋_GB2312" w:eastAsia="仿宋_GB2312"/>
                      <w:sz w:val="21"/>
                    </w:rPr>
                    <w:t>设备型号</w:t>
                  </w:r>
                  <w:r>
                    <w:rPr>
                      <w:rFonts w:ascii="仿宋_GB2312" w:hAnsi="仿宋_GB2312" w:cs="仿宋_GB2312" w:eastAsia="仿宋_GB2312"/>
                      <w:sz w:val="21"/>
                    </w:rPr>
                    <w:t>:</w:t>
                  </w:r>
                  <w:r>
                    <w:rPr>
                      <w:rFonts w:ascii="仿宋_GB2312" w:hAnsi="仿宋_GB2312" w:cs="仿宋_GB2312" w:eastAsia="仿宋_GB2312"/>
                      <w:sz w:val="21"/>
                      <w:shd w:fill="FFFFFF" w:val="clear"/>
                    </w:rPr>
                    <w:t>热电</w:t>
                  </w:r>
                  <w:r>
                    <w:rPr>
                      <w:rFonts w:ascii="仿宋_GB2312" w:hAnsi="仿宋_GB2312" w:cs="仿宋_GB2312" w:eastAsia="仿宋_GB2312"/>
                      <w:sz w:val="21"/>
                      <w:shd w:fill="FFFFFF" w:val="clear"/>
                    </w:rPr>
                    <w:t>-48i维修项目</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维修</w:t>
                  </w:r>
                  <w:r>
                    <w:rPr>
                      <w:rFonts w:ascii="仿宋_GB2312" w:hAnsi="仿宋_GB2312" w:cs="仿宋_GB2312" w:eastAsia="仿宋_GB2312"/>
                      <w:sz w:val="21"/>
                      <w:shd w:fill="FFFFFF" w:val="clear"/>
                    </w:rPr>
                    <w:t>相关轮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更换红外电阻</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内置泵故障</w:t>
                  </w:r>
                  <w:r>
                    <w:rPr>
                      <w:rFonts w:ascii="仿宋_GB2312" w:hAnsi="仿宋_GB2312" w:cs="仿宋_GB2312" w:eastAsia="仿宋_GB2312"/>
                      <w:sz w:val="21"/>
                      <w:shd w:fill="FFFFFF" w:val="clear"/>
                    </w:rPr>
                    <w:t>维修</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更换液晶显示器及传输电路板</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O3设备型号</w:t>
                  </w:r>
                  <w:r>
                    <w:rPr>
                      <w:rFonts w:ascii="仿宋_GB2312" w:hAnsi="仿宋_GB2312" w:cs="仿宋_GB2312" w:eastAsia="仿宋_GB2312"/>
                      <w:sz w:val="21"/>
                    </w:rPr>
                    <w:t>:</w:t>
                  </w:r>
                  <w:r>
                    <w:rPr>
                      <w:rFonts w:ascii="仿宋_GB2312" w:hAnsi="仿宋_GB2312" w:cs="仿宋_GB2312" w:eastAsia="仿宋_GB2312"/>
                      <w:sz w:val="21"/>
                    </w:rPr>
                    <w:t>热电</w:t>
                  </w:r>
                  <w:r>
                    <w:rPr>
                      <w:rFonts w:ascii="仿宋_GB2312" w:hAnsi="仿宋_GB2312" w:cs="仿宋_GB2312" w:eastAsia="仿宋_GB2312"/>
                      <w:sz w:val="21"/>
                    </w:rPr>
                    <w:t>-49i</w:t>
                  </w:r>
                  <w:r>
                    <w:rPr>
                      <w:rFonts w:ascii="仿宋_GB2312" w:hAnsi="仿宋_GB2312" w:cs="仿宋_GB2312" w:eastAsia="仿宋_GB2312"/>
                      <w:sz w:val="21"/>
                      <w:shd w:fill="FFFFFF" w:val="clear"/>
                    </w:rPr>
                    <w:t>维修项目</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w:t>
                  </w:r>
                  <w:r>
                    <w:rPr>
                      <w:rFonts w:ascii="仿宋_GB2312" w:hAnsi="仿宋_GB2312" w:cs="仿宋_GB2312" w:eastAsia="仿宋_GB2312"/>
                      <w:sz w:val="21"/>
                    </w:rPr>
                    <w:t>O3剔除器</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none" w:color="000000" w:sz="4"/>
                    <w:right w:val="single" w:color="000000" w:sz="4"/>
                  </w:tcBorders>
                </w:tcPr>
                <w:p/>
              </w:tc>
              <w:tc>
                <w:tcPr>
                  <w:tcW w:type="dxa" w:w="692"/>
                  <w:vMerge/>
                  <w:tcBorders>
                    <w:top w:val="none" w:color="000000" w:sz="4"/>
                    <w:left w:val="none" w:color="000000" w:sz="4"/>
                    <w:bottom w:val="none" w:color="000000" w:sz="4"/>
                    <w:right w:val="single" w:color="000000" w:sz="4"/>
                  </w:tcBorders>
                </w:tcP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更换液晶显示器及传输电路板</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pPr>
            <w:r>
              <w:rPr>
                <w:rFonts w:ascii="仿宋_GB2312" w:hAnsi="仿宋_GB2312" w:cs="仿宋_GB2312" w:eastAsia="仿宋_GB2312"/>
              </w:rPr>
              <w:t>二、运维服务项目</w:t>
            </w:r>
          </w:p>
          <w:tbl>
            <w:tblPr>
              <w:tblInd w:type="dxa" w:w="90"/>
              <w:tblBorders>
                <w:top w:val="none" w:color="000000" w:sz="4"/>
                <w:left w:val="none" w:color="000000" w:sz="4"/>
                <w:bottom w:val="none" w:color="000000" w:sz="4"/>
                <w:right w:val="none" w:color="000000" w:sz="4"/>
                <w:insideH w:val="none"/>
                <w:insideV w:val="none"/>
              </w:tblBorders>
            </w:tblPr>
            <w:tblGrid>
              <w:gridCol w:w="268"/>
              <w:gridCol w:w="685"/>
              <w:gridCol w:w="1043"/>
              <w:gridCol w:w="286"/>
              <w:gridCol w:w="250"/>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w:t>
                  </w:r>
                  <w:r>
                    <w:rPr>
                      <w:rFonts w:ascii="仿宋_GB2312" w:hAnsi="仿宋_GB2312" w:cs="仿宋_GB2312" w:eastAsia="仿宋_GB2312"/>
                      <w:sz w:val="21"/>
                    </w:rPr>
                    <w:t>服务项目</w:t>
                  </w: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人员车辆</w:t>
                  </w:r>
                  <w:r>
                    <w:rPr>
                      <w:rFonts w:ascii="仿宋_GB2312" w:hAnsi="仿宋_GB2312" w:cs="仿宋_GB2312" w:eastAsia="仿宋_GB2312"/>
                      <w:sz w:val="21"/>
                      <w:shd w:fill="FFFFFF" w:val="clear"/>
                    </w:rPr>
                    <w:t>费用</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运维工程师</w:t>
                  </w:r>
                  <w:r>
                    <w:rPr>
                      <w:rFonts w:ascii="仿宋_GB2312" w:hAnsi="仿宋_GB2312" w:cs="仿宋_GB2312" w:eastAsia="仿宋_GB2312"/>
                      <w:sz w:val="21"/>
                    </w:rPr>
                    <w:t>一</w:t>
                  </w:r>
                  <w:r>
                    <w:rPr>
                      <w:rFonts w:ascii="仿宋_GB2312" w:hAnsi="仿宋_GB2312" w:cs="仿宋_GB2312" w:eastAsia="仿宋_GB2312"/>
                      <w:sz w:val="21"/>
                    </w:rPr>
                    <w:t>人</w:t>
                  </w:r>
                  <w:r>
                    <w:rPr>
                      <w:rFonts w:ascii="仿宋_GB2312" w:hAnsi="仿宋_GB2312" w:cs="仿宋_GB2312" w:eastAsia="仿宋_GB2312"/>
                      <w:sz w:val="21"/>
                    </w:rPr>
                    <w:t>（有运维资格证）</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w:t>
                  </w:r>
                </w:p>
              </w:tc>
            </w:tr>
            <w:tr>
              <w:tc>
                <w:tcPr>
                  <w:tcW w:type="dxa" w:w="268"/>
                  <w:vMerge/>
                  <w:tcBorders>
                    <w:top w:val="none" w:color="000000" w:sz="4"/>
                    <w:left w:val="singl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自有车辆</w:t>
                  </w:r>
                  <w:r>
                    <w:rPr>
                      <w:rFonts w:ascii="仿宋_GB2312" w:hAnsi="仿宋_GB2312" w:cs="仿宋_GB2312" w:eastAsia="仿宋_GB2312"/>
                      <w:sz w:val="21"/>
                    </w:rPr>
                    <w:t>油补</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w:t>
                  </w:r>
                </w:p>
              </w:tc>
            </w:tr>
            <w:tr>
              <w:tc>
                <w:tcPr>
                  <w:tcW w:type="dxa" w:w="26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辅助质控设备鉴定费用（陕西省计量院鉴定）</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质控流量计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大气压计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消耗耗材费</w:t>
                  </w:r>
                </w:p>
              </w:tc>
              <w:tc>
                <w:tcPr>
                  <w:tcW w:type="dxa" w:w="10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PM2.5/PM10热电纸带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5030i过滤器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NO变色硅胶</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零气发生器用活性炭</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零气发生器用氧化剂</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NO/SO2/CO标气</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气态粒子过滤膜</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内置泵泵膜（大）</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vMerge/>
                  <w:tcBorders>
                    <w:top w:val="single" w:color="000000" w:sz="4"/>
                    <w:left w:val="single" w:color="000000" w:sz="4"/>
                    <w:bottom w:val="none" w:color="000000" w:sz="4"/>
                    <w:right w:val="single" w:color="000000" w:sz="4"/>
                  </w:tcBorders>
                </w:tcPr>
                <w:p/>
              </w:tc>
              <w:tc>
                <w:tcPr>
                  <w:tcW w:type="dxa" w:w="685"/>
                  <w:vMerge/>
                  <w:tcBorders>
                    <w:top w:val="singl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内置泵泵膜（小）</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站点网费</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无线路由器（网卡）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站点电费</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汉风台园区接电（</w:t>
                  </w:r>
                  <w:r>
                    <w:rPr>
                      <w:rFonts w:ascii="仿宋_GB2312" w:hAnsi="仿宋_GB2312" w:cs="仿宋_GB2312" w:eastAsia="仿宋_GB2312"/>
                      <w:sz w:val="21"/>
                    </w:rPr>
                    <w:t>1元/度）</w:t>
                  </w:r>
                </w:p>
                <w:p>
                  <w:pPr>
                    <w:pStyle w:val="null3"/>
                    <w:jc w:val="center"/>
                  </w:pPr>
                  <w:r>
                    <w:rPr>
                      <w:rFonts w:ascii="仿宋_GB2312" w:hAnsi="仿宋_GB2312" w:cs="仿宋_GB2312" w:eastAsia="仿宋_GB2312"/>
                      <w:sz w:val="21"/>
                    </w:rPr>
                    <w:t>平均一个月</w:t>
                  </w:r>
                  <w:r>
                    <w:rPr>
                      <w:rFonts w:ascii="仿宋_GB2312" w:hAnsi="仿宋_GB2312" w:cs="仿宋_GB2312" w:eastAsia="仿宋_GB2312"/>
                      <w:sz w:val="21"/>
                    </w:rPr>
                    <w:t>1500度</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月</w:t>
                  </w:r>
                </w:p>
              </w:tc>
            </w:tr>
            <w:tr>
              <w:tc>
                <w:tcPr>
                  <w:tcW w:type="dxa" w:w="26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站房设备调试安装</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车辆运输</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人员搬运安装</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稳压器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采样区开孔</w:t>
                  </w:r>
                  <w:r>
                    <w:rPr>
                      <w:rFonts w:ascii="仿宋_GB2312" w:hAnsi="仿宋_GB2312" w:cs="仿宋_GB2312" w:eastAsia="仿宋_GB2312"/>
                      <w:sz w:val="21"/>
                    </w:rPr>
                    <w:t>/防水</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68"/>
                  <w:vMerge/>
                  <w:tcBorders>
                    <w:top w:val="none" w:color="000000" w:sz="4"/>
                    <w:left w:val="single" w:color="000000" w:sz="4"/>
                    <w:bottom w:val="none" w:color="000000" w:sz="4"/>
                    <w:right w:val="single" w:color="000000" w:sz="4"/>
                  </w:tcBorders>
                </w:tcPr>
                <w:p/>
              </w:tc>
              <w:tc>
                <w:tcPr>
                  <w:tcW w:type="dxa" w:w="685"/>
                  <w:vMerge/>
                  <w:tcBorders>
                    <w:top w:val="none" w:color="000000" w:sz="4"/>
                    <w:left w:val="none" w:color="000000" w:sz="4"/>
                    <w:bottom w:val="none" w:color="000000" w:sz="4"/>
                    <w:right w:val="single" w:color="000000" w:sz="4"/>
                  </w:tcBorders>
                </w:tc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空调维修（加氟更换铜管）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合同签订之日起，维修期内乙方根据甲方要求对监测设备进行维修，维修完成后交与甲方验收。甲方验收合格后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运维服务开始满6个月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运维服务结束后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报价明细表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报价明细表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根据磋商文件内容及要求，列出对项目的理解、运维管理制度，维护、巡检的内容、措施和标准，故障监测与维修以及站点的维护等内容。 ①项目理解准确、内容完整、方案详细、流程规范具体，各工作节点措施具体，针对性充足且完全符合项目需求的，计15分；②项目理解无误、内容基本完善、方案、流程规范、各工作节点措施明确，具有一定针对性且基本符合项目需求的，计10分；③项目理解有误、有基本的工作内容、方案、流程规范、各工作节点措施，但内容含糊或有实质性缺陷，无针对性且无法满足项目需求的，计5分；④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①对本项目的重点把握突出、难点分析到位、提出针对性解决方案，解决方案合理，计10分；②分析不全面、解决方案粗略但具有一定合理性，计6分； ③无重点、难点分析或解决方案不合理，无法保证项目正常进行，计3分。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根据本项目特点制定应急方案，方案内容包含①突发事件的定义与分类②运维设备故障应对③事件响应流程及时间④应急救援与处置。 ①方案全面，切合本项目实际情况，针对性强，计9分；②方案较全面，基本切合本项目实际情况，针对性较强，计6分；③方案不全面，偏离本项目实际情况，针对性较差，计3分；④未提供不得分。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①学历要求：具有本科及以上学历得2分。②经验要求：具有同类项目3年运维管理经验，得1分；每增加一年管理经验额外增加1分，最多增加2分，满分3分。 赋分依据：须提供学历证明材料及经验证明文件或被服务单位加盖公章的证明材料，未提供不得分。 项目组其他成员： ①各专业岗位人员配备齐全，履历丰富、熟悉安防系统、人员职责明确、分工清晰、非常合理得10分； ②各专业岗位人员配备基本齐全，履历较丰富，较熟悉安防系统、人员职责基本明确、分工较清晰得6分；③各专业岗位人员配备不齐全，履历缺乏，人员职责不明确、分工不清晰得3分；④不能满足采购人需求或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运维设备</w:t>
            </w:r>
          </w:p>
        </w:tc>
        <w:tc>
          <w:tcPr>
            <w:tcW w:type="dxa" w:w="2492"/>
          </w:tcPr>
          <w:p>
            <w:pPr>
              <w:pStyle w:val="null3"/>
            </w:pPr>
            <w:r>
              <w:rPr>
                <w:rFonts w:ascii="仿宋_GB2312" w:hAnsi="仿宋_GB2312" w:cs="仿宋_GB2312" w:eastAsia="仿宋_GB2312"/>
              </w:rPr>
              <w:t>供应商需按磋商文件要求配备必要的运维设备、备品备件及耗材等，提供配置清单（包括但不限于品名、品牌、型号、数量、用途等）。①配置清单完整，所配置运维设备、备品备件及耗材等完全适配本项目，计15分；②配置清单较完整，所配置运维设备、备品备件及耗材等基本适配本项目，计10分； ③配置清单不完整，所配置运维设备、备品备件及耗材等不适配本项目，计5分；④未提供不计分。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运维车辆</w:t>
            </w:r>
          </w:p>
        </w:tc>
        <w:tc>
          <w:tcPr>
            <w:tcW w:type="dxa" w:w="2492"/>
          </w:tcPr>
          <w:p>
            <w:pPr>
              <w:pStyle w:val="null3"/>
            </w:pPr>
            <w:r>
              <w:rPr>
                <w:rFonts w:ascii="仿宋_GB2312" w:hAnsi="仿宋_GB2312" w:cs="仿宋_GB2312" w:eastAsia="仿宋_GB2312"/>
              </w:rPr>
              <w:t>供应商提供站点至少配置1 辆运维车，车辆不足或未提供车辆相关证明材料或提供资料不全不计分，满分4分。 注：提供车辆行驶证、对应带车牌照片，购买或租赁协议等。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为更好的服务于本项目，满足采购人质量保证要求，供应商对项目做出详尽、全面、有效、合理的服务质量保障措施。 ①服务质量管理体系健全完善、质量目标明确，保证措施内容详细全面，条理清晰，针对性充足且完全满足项目实施，计12分； ②服务质量管理体系较完善、质量目标明确，保证措施详细、条理清晰，有一定针对性，计8分；③服务质量管理体系不完善，质量目标含糊，保证措施内容含糊或有实质性缺陷，针对性不足计4分； ④未提供不计分。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包括但不限于按时保质完成委托的工作，对监测结果的真实性负责、质量标准、违约责任及经济损失赔偿等）。①服务承诺内容全面，可行性强，计5分；②服务承诺内容较全面，可行性较强，计3分；③服务承诺内容不全面，基本不可行，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1.0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