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版本号：ZCZX2025-CS-121（S）20250718001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曲江新区2025年车辆租赁(二次)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ZCZX2025-CS-121（S）</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陕西众诚致信管理咨询有限公司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陕西众诚致信管理咨询有限公司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曲江新区2025年车辆租赁(二次)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ZCZX2025-CS-121（S）</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曲江新区2025年车辆租赁(二次)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为保障各项活动、调研及必要的公务出行，拟租赁1辆中巴车和2辆商务车。</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磋商授权：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p>
      <w:pPr>
        <w:pStyle w:val="null3"/>
      </w:pPr>
      <w:r>
        <w:rPr>
          <w:rFonts w:ascii="仿宋_GB2312" w:hAnsi="仿宋_GB2312" w:cs="仿宋_GB2312" w:eastAsia="仿宋_GB2312"/>
        </w:rPr>
        <w:t>2、资质：供应商具有道路运政管理机构核发有效的《道路运输经营许可证》，经营范围须包含客运。</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029-68660033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陕西众诚致信管理咨询有限公司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西安曲江新区翠华南路1688号创意盒子13层1304室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王鹏飞、吴芳超、孟凌</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029-89565998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西安曲江新区财政局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采购包1：358,000.00元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规定向中标（成交）供应商收取代理服务费。不足8000元的，按8000元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陕西众诚致信管理咨询有限公司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陕西众诚致信管理咨询有限公司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陕西众诚致信管理咨询有限公司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陕西众诚致信管理咨询有限公司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联系人：王鹏飞、吴芳超、孟凌</w:t>
      </w:r>
    </w:p>
    <w:p>
      <w:pPr>
        <w:pStyle w:val="null3"/>
      </w:pPr>
      <w:r>
        <w:rPr>
          <w:rFonts w:ascii="仿宋_GB2312" w:hAnsi="仿宋_GB2312" w:cs="仿宋_GB2312" w:eastAsia="仿宋_GB2312"/>
        </w:rPr>
        <w:t>联系电话：029-89565998</w:t>
      </w:r>
    </w:p>
    <w:p>
      <w:pPr>
        <w:pStyle w:val="null3"/>
      </w:pPr>
      <w:r>
        <w:rPr>
          <w:rFonts w:ascii="仿宋_GB2312" w:hAnsi="仿宋_GB2312" w:cs="仿宋_GB2312" w:eastAsia="仿宋_GB2312"/>
        </w:rPr>
        <w:t>地址：西安曲江新区翠华南路1688号创意盒子13层1304室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为保障各项活动、调研及必要的公务出行，拟租赁1辆中巴车和2辆商务车。</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358,000.00</w:t>
      </w:r>
    </w:p>
    <w:p>
      <w:pPr>
        <w:pStyle w:val="null3"/>
      </w:pPr>
      <w:r>
        <w:rPr>
          <w:rFonts w:ascii="仿宋_GB2312" w:hAnsi="仿宋_GB2312" w:cs="仿宋_GB2312" w:eastAsia="仿宋_GB2312"/>
        </w:rPr>
        <w:t>采购包最高限价（元）: 358,000.00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曲江新区2025年车辆租赁</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标的名称：曲江新区2025年车辆租赁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rPr>
              <w:t>一、项目概况</w:t>
            </w:r>
          </w:p>
          <w:p>
            <w:pPr>
              <w:pStyle w:val="null3"/>
            </w:pPr>
            <w:r>
              <w:rPr>
                <w:rFonts w:ascii="仿宋_GB2312" w:hAnsi="仿宋_GB2312" w:cs="仿宋_GB2312" w:eastAsia="仿宋_GB2312"/>
                <w:sz w:val="20"/>
              </w:rPr>
              <w:t>为保障各项活动、调研及必要的公务出行，拟租赁</w:t>
            </w:r>
            <w:r>
              <w:rPr>
                <w:rFonts w:ascii="仿宋_GB2312" w:hAnsi="仿宋_GB2312" w:cs="仿宋_GB2312" w:eastAsia="仿宋_GB2312"/>
                <w:sz w:val="20"/>
              </w:rPr>
              <w:t>1</w:t>
            </w:r>
            <w:r>
              <w:rPr>
                <w:rFonts w:ascii="仿宋_GB2312" w:hAnsi="仿宋_GB2312" w:cs="仿宋_GB2312" w:eastAsia="仿宋_GB2312"/>
                <w:sz w:val="20"/>
              </w:rPr>
              <w:t>辆中巴车和</w:t>
            </w:r>
            <w:r>
              <w:rPr>
                <w:rFonts w:ascii="仿宋_GB2312" w:hAnsi="仿宋_GB2312" w:cs="仿宋_GB2312" w:eastAsia="仿宋_GB2312"/>
                <w:sz w:val="20"/>
              </w:rPr>
              <w:t>2</w:t>
            </w:r>
            <w:r>
              <w:rPr>
                <w:rFonts w:ascii="仿宋_GB2312" w:hAnsi="仿宋_GB2312" w:cs="仿宋_GB2312" w:eastAsia="仿宋_GB2312"/>
                <w:sz w:val="20"/>
              </w:rPr>
              <w:t>辆商务车。</w:t>
            </w:r>
          </w:p>
          <w:p>
            <w:pPr>
              <w:pStyle w:val="null3"/>
            </w:pPr>
            <w:r>
              <w:rPr>
                <w:rFonts w:ascii="仿宋_GB2312" w:hAnsi="仿宋_GB2312" w:cs="仿宋_GB2312" w:eastAsia="仿宋_GB2312"/>
                <w:sz w:val="20"/>
              </w:rPr>
              <w:t>二、服务地点及具体时间</w:t>
            </w:r>
          </w:p>
          <w:p>
            <w:pPr>
              <w:pStyle w:val="null3"/>
            </w:pPr>
            <w:r>
              <w:rPr>
                <w:rFonts w:ascii="仿宋_GB2312" w:hAnsi="仿宋_GB2312" w:cs="仿宋_GB2312" w:eastAsia="仿宋_GB2312"/>
                <w:sz w:val="20"/>
              </w:rPr>
              <w:t>服务期限：合同签订后一年</w:t>
            </w:r>
          </w:p>
          <w:p>
            <w:pPr>
              <w:pStyle w:val="null3"/>
            </w:pPr>
            <w:r>
              <w:rPr>
                <w:rFonts w:ascii="仿宋_GB2312" w:hAnsi="仿宋_GB2312" w:cs="仿宋_GB2312" w:eastAsia="仿宋_GB2312"/>
                <w:sz w:val="20"/>
              </w:rPr>
              <w:t>服务地点：采购人指定地点</w:t>
            </w:r>
          </w:p>
          <w:p>
            <w:pPr>
              <w:pStyle w:val="null3"/>
            </w:pPr>
            <w:r>
              <w:rPr>
                <w:rFonts w:ascii="仿宋_GB2312" w:hAnsi="仿宋_GB2312" w:cs="仿宋_GB2312" w:eastAsia="仿宋_GB2312"/>
                <w:sz w:val="20"/>
              </w:rPr>
              <w:t>三、服务要求</w:t>
            </w:r>
          </w:p>
          <w:p>
            <w:pPr>
              <w:pStyle w:val="null3"/>
            </w:pPr>
            <w:r>
              <w:rPr>
                <w:rFonts w:ascii="仿宋_GB2312" w:hAnsi="仿宋_GB2312" w:cs="仿宋_GB2312" w:eastAsia="仿宋_GB2312"/>
                <w:sz w:val="20"/>
              </w:rPr>
              <w:t>1</w:t>
            </w:r>
            <w:r>
              <w:rPr>
                <w:rFonts w:ascii="仿宋_GB2312" w:hAnsi="仿宋_GB2312" w:cs="仿宋_GB2312" w:eastAsia="仿宋_GB2312"/>
                <w:sz w:val="20"/>
              </w:rPr>
              <w:t>、车辆服务次数：</w:t>
            </w:r>
          </w:p>
          <w:p>
            <w:pPr>
              <w:pStyle w:val="null3"/>
            </w:pPr>
            <w:r>
              <w:rPr>
                <w:rFonts w:ascii="仿宋_GB2312" w:hAnsi="仿宋_GB2312" w:cs="仿宋_GB2312" w:eastAsia="仿宋_GB2312"/>
                <w:sz w:val="20"/>
              </w:rPr>
              <w:t>初步</w:t>
            </w:r>
            <w:r>
              <w:rPr>
                <w:rFonts w:ascii="仿宋_GB2312" w:hAnsi="仿宋_GB2312" w:cs="仿宋_GB2312" w:eastAsia="仿宋_GB2312"/>
                <w:sz w:val="20"/>
              </w:rPr>
              <w:t>拟定：中巴车每辆车全年约220次，每次出车不低于3小时，单价最高限价900元/车/次；商务车每辆车全年约200次，每次出车不低于3小时，单价最高限价400元/车/次。根据具体出车次数据实结算。</w:t>
            </w:r>
          </w:p>
          <w:p>
            <w:pPr>
              <w:pStyle w:val="null3"/>
            </w:pPr>
            <w:r>
              <w:rPr>
                <w:rFonts w:ascii="仿宋_GB2312" w:hAnsi="仿宋_GB2312" w:cs="仿宋_GB2312" w:eastAsia="仿宋_GB2312"/>
                <w:sz w:val="20"/>
              </w:rPr>
              <w:t>2</w:t>
            </w:r>
            <w:r>
              <w:rPr>
                <w:rFonts w:ascii="仿宋_GB2312" w:hAnsi="仿宋_GB2312" w:cs="仿宋_GB2312" w:eastAsia="仿宋_GB2312"/>
                <w:sz w:val="20"/>
              </w:rPr>
              <w:t>、每车配有驾驶人员</w:t>
            </w:r>
            <w:r>
              <w:rPr>
                <w:rFonts w:ascii="仿宋_GB2312" w:hAnsi="仿宋_GB2312" w:cs="仿宋_GB2312" w:eastAsia="仿宋_GB2312"/>
                <w:sz w:val="20"/>
              </w:rPr>
              <w:t>24</w:t>
            </w:r>
            <w:r>
              <w:rPr>
                <w:rFonts w:ascii="仿宋_GB2312" w:hAnsi="仿宋_GB2312" w:cs="仿宋_GB2312" w:eastAsia="仿宋_GB2312"/>
                <w:sz w:val="20"/>
              </w:rPr>
              <w:t>小时提供服务，接到采购人出行任务后，</w:t>
            </w:r>
            <w:r>
              <w:rPr>
                <w:rFonts w:ascii="仿宋_GB2312" w:hAnsi="仿宋_GB2312" w:cs="仿宋_GB2312" w:eastAsia="仿宋_GB2312"/>
                <w:sz w:val="20"/>
              </w:rPr>
              <w:t>40</w:t>
            </w:r>
            <w:r>
              <w:rPr>
                <w:rFonts w:ascii="仿宋_GB2312" w:hAnsi="仿宋_GB2312" w:cs="仿宋_GB2312" w:eastAsia="仿宋_GB2312"/>
                <w:sz w:val="20"/>
              </w:rPr>
              <w:t>分钟内到达指定地点。</w:t>
            </w:r>
          </w:p>
          <w:p>
            <w:pPr>
              <w:pStyle w:val="null3"/>
            </w:pPr>
            <w:r>
              <w:rPr>
                <w:rFonts w:ascii="仿宋_GB2312" w:hAnsi="仿宋_GB2312" w:cs="仿宋_GB2312" w:eastAsia="仿宋_GB2312"/>
                <w:sz w:val="20"/>
              </w:rPr>
              <w:t>3</w:t>
            </w:r>
            <w:r>
              <w:rPr>
                <w:rFonts w:ascii="仿宋_GB2312" w:hAnsi="仿宋_GB2312" w:cs="仿宋_GB2312" w:eastAsia="仿宋_GB2312"/>
                <w:sz w:val="20"/>
              </w:rPr>
              <w:t>、所提供车辆应符合国家机动车运行安全技术标准；</w:t>
            </w:r>
          </w:p>
          <w:p>
            <w:pPr>
              <w:pStyle w:val="null3"/>
            </w:pPr>
            <w:r>
              <w:rPr>
                <w:rFonts w:ascii="仿宋_GB2312" w:hAnsi="仿宋_GB2312" w:cs="仿宋_GB2312" w:eastAsia="仿宋_GB2312"/>
                <w:sz w:val="20"/>
              </w:rPr>
              <w:t>4</w:t>
            </w:r>
            <w:r>
              <w:rPr>
                <w:rFonts w:ascii="仿宋_GB2312" w:hAnsi="仿宋_GB2312" w:cs="仿宋_GB2312" w:eastAsia="仿宋_GB2312"/>
                <w:sz w:val="20"/>
              </w:rPr>
              <w:t>、所提供车辆品牌知名度高、市场占有率高、性能安全稳定；</w:t>
            </w:r>
          </w:p>
          <w:p>
            <w:pPr>
              <w:pStyle w:val="null3"/>
            </w:pPr>
            <w:r>
              <w:rPr>
                <w:rFonts w:ascii="仿宋_GB2312" w:hAnsi="仿宋_GB2312" w:cs="仿宋_GB2312" w:eastAsia="仿宋_GB2312"/>
                <w:sz w:val="20"/>
              </w:rPr>
              <w:t>5</w:t>
            </w:r>
            <w:r>
              <w:rPr>
                <w:rFonts w:ascii="仿宋_GB2312" w:hAnsi="仿宋_GB2312" w:cs="仿宋_GB2312" w:eastAsia="仿宋_GB2312"/>
                <w:sz w:val="20"/>
              </w:rPr>
              <w:t>、所提供车辆污染物排放符合国家和陕西省相关规定；</w:t>
            </w:r>
          </w:p>
          <w:p>
            <w:pPr>
              <w:pStyle w:val="null3"/>
            </w:pPr>
            <w:r>
              <w:rPr>
                <w:rFonts w:ascii="仿宋_GB2312" w:hAnsi="仿宋_GB2312" w:cs="仿宋_GB2312" w:eastAsia="仿宋_GB2312"/>
                <w:sz w:val="20"/>
              </w:rPr>
              <w:t>6</w:t>
            </w:r>
            <w:r>
              <w:rPr>
                <w:rFonts w:ascii="仿宋_GB2312" w:hAnsi="仿宋_GB2312" w:cs="仿宋_GB2312" w:eastAsia="仿宋_GB2312"/>
                <w:sz w:val="20"/>
              </w:rPr>
              <w:t>、所提供车辆必须为供应商自有或其下属单位自有车辆，车辆年检合格，车辆保险手续齐全，提供加盖公章的车辆行驶证复印件、车辆交强险和商业险保单复印件、车辆年检标贴的复印件或照片打印件；</w:t>
            </w:r>
          </w:p>
          <w:p>
            <w:pPr>
              <w:pStyle w:val="null3"/>
            </w:pPr>
            <w:r>
              <w:rPr>
                <w:rFonts w:ascii="仿宋_GB2312" w:hAnsi="仿宋_GB2312" w:cs="仿宋_GB2312" w:eastAsia="仿宋_GB2312"/>
                <w:sz w:val="20"/>
              </w:rPr>
              <w:t>7</w:t>
            </w:r>
            <w:r>
              <w:rPr>
                <w:rFonts w:ascii="仿宋_GB2312" w:hAnsi="仿宋_GB2312" w:cs="仿宋_GB2312" w:eastAsia="仿宋_GB2312"/>
                <w:sz w:val="20"/>
              </w:rPr>
              <w:t>、所提供车辆按照每个座位投保不少于</w:t>
            </w:r>
            <w:r>
              <w:rPr>
                <w:rFonts w:ascii="仿宋_GB2312" w:hAnsi="仿宋_GB2312" w:cs="仿宋_GB2312" w:eastAsia="仿宋_GB2312"/>
                <w:sz w:val="20"/>
              </w:rPr>
              <w:t>50</w:t>
            </w:r>
            <w:r>
              <w:rPr>
                <w:rFonts w:ascii="仿宋_GB2312" w:hAnsi="仿宋_GB2312" w:cs="仿宋_GB2312" w:eastAsia="仿宋_GB2312"/>
                <w:sz w:val="20"/>
              </w:rPr>
              <w:t>万元保险；</w:t>
            </w:r>
          </w:p>
          <w:p>
            <w:pPr>
              <w:pStyle w:val="null3"/>
            </w:pPr>
            <w:r>
              <w:rPr>
                <w:rFonts w:ascii="仿宋_GB2312" w:hAnsi="仿宋_GB2312" w:cs="仿宋_GB2312" w:eastAsia="仿宋_GB2312"/>
                <w:sz w:val="20"/>
              </w:rPr>
              <w:t>8</w:t>
            </w:r>
            <w:r>
              <w:rPr>
                <w:rFonts w:ascii="仿宋_GB2312" w:hAnsi="仿宋_GB2312" w:cs="仿宋_GB2312" w:eastAsia="仿宋_GB2312"/>
                <w:sz w:val="20"/>
              </w:rPr>
              <w:t>、驾驶员具备与驾驶车辆相匹配的、交警部门核发有效的机动车驾驶证，身体健康、品行端正，年龄在</w:t>
            </w:r>
            <w:r>
              <w:rPr>
                <w:rFonts w:ascii="仿宋_GB2312" w:hAnsi="仿宋_GB2312" w:cs="仿宋_GB2312" w:eastAsia="仿宋_GB2312"/>
                <w:sz w:val="20"/>
              </w:rPr>
              <w:t>30</w:t>
            </w:r>
            <w:r>
              <w:rPr>
                <w:rFonts w:ascii="仿宋_GB2312" w:hAnsi="仿宋_GB2312" w:cs="仿宋_GB2312" w:eastAsia="仿宋_GB2312"/>
                <w:sz w:val="20"/>
              </w:rPr>
              <w:t>岁至</w:t>
            </w:r>
            <w:r>
              <w:rPr>
                <w:rFonts w:ascii="仿宋_GB2312" w:hAnsi="仿宋_GB2312" w:cs="仿宋_GB2312" w:eastAsia="仿宋_GB2312"/>
                <w:sz w:val="20"/>
              </w:rPr>
              <w:t>55</w:t>
            </w:r>
            <w:r>
              <w:rPr>
                <w:rFonts w:ascii="仿宋_GB2312" w:hAnsi="仿宋_GB2312" w:cs="仿宋_GB2312" w:eastAsia="仿宋_GB2312"/>
                <w:sz w:val="20"/>
              </w:rPr>
              <w:t>岁内且驾龄在</w:t>
            </w:r>
            <w:r>
              <w:rPr>
                <w:rFonts w:ascii="仿宋_GB2312" w:hAnsi="仿宋_GB2312" w:cs="仿宋_GB2312" w:eastAsia="仿宋_GB2312"/>
                <w:sz w:val="20"/>
              </w:rPr>
              <w:t>5</w:t>
            </w:r>
            <w:r>
              <w:rPr>
                <w:rFonts w:ascii="仿宋_GB2312" w:hAnsi="仿宋_GB2312" w:cs="仿宋_GB2312" w:eastAsia="仿宋_GB2312"/>
                <w:sz w:val="20"/>
              </w:rPr>
              <w:t>年以上。提供加盖公章的驾驶员从业资格证复印件。</w:t>
            </w:r>
          </w:p>
          <w:p>
            <w:pPr>
              <w:pStyle w:val="null3"/>
            </w:pPr>
            <w:r>
              <w:rPr>
                <w:rFonts w:ascii="仿宋_GB2312" w:hAnsi="仿宋_GB2312" w:cs="仿宋_GB2312" w:eastAsia="仿宋_GB2312"/>
                <w:sz w:val="20"/>
              </w:rPr>
              <w:t>四、服务标准</w:t>
            </w:r>
          </w:p>
          <w:p>
            <w:pPr>
              <w:pStyle w:val="null3"/>
            </w:pPr>
            <w:r>
              <w:rPr>
                <w:rFonts w:ascii="仿宋_GB2312" w:hAnsi="仿宋_GB2312" w:cs="仿宋_GB2312" w:eastAsia="仿宋_GB2312"/>
                <w:sz w:val="20"/>
              </w:rPr>
              <w:t>企业具有健全、完善的安全生产经营制度和管理措施，经营场所、车辆等设备设施应符合国家安全生产规定要求，服务人员能够按照安全生产的规定要求规范操作，并具备处理突发情况的能力。</w:t>
            </w:r>
          </w:p>
          <w:p>
            <w:pPr>
              <w:pStyle w:val="null3"/>
            </w:pPr>
            <w:r>
              <w:rPr>
                <w:rFonts w:ascii="仿宋_GB2312" w:hAnsi="仿宋_GB2312" w:cs="仿宋_GB2312" w:eastAsia="仿宋_GB2312"/>
                <w:sz w:val="20"/>
              </w:rPr>
              <w:t>五、应急措施</w:t>
            </w:r>
          </w:p>
          <w:p>
            <w:pPr>
              <w:pStyle w:val="null3"/>
            </w:pPr>
            <w:r>
              <w:rPr>
                <w:rFonts w:ascii="仿宋_GB2312" w:hAnsi="仿宋_GB2312" w:cs="仿宋_GB2312" w:eastAsia="仿宋_GB2312"/>
                <w:sz w:val="20"/>
              </w:rPr>
              <w:t>服务过程中抛锚、事故或因车辆租赁服务单位原因无法行驶时，必须及时提供相同或者高于服务车辆配置的车辆前往服务地点。</w:t>
            </w:r>
          </w:p>
          <w:p>
            <w:pPr>
              <w:pStyle w:val="null3"/>
            </w:pPr>
            <w:r>
              <w:rPr>
                <w:rFonts w:ascii="仿宋_GB2312" w:hAnsi="仿宋_GB2312" w:cs="仿宋_GB2312" w:eastAsia="仿宋_GB2312"/>
                <w:sz w:val="20"/>
              </w:rPr>
              <w:t>六、车辆要求</w:t>
            </w:r>
          </w:p>
          <w:p>
            <w:pPr>
              <w:pStyle w:val="null3"/>
            </w:pPr>
            <w:r>
              <w:rPr>
                <w:rFonts w:ascii="仿宋_GB2312" w:hAnsi="仿宋_GB2312" w:cs="仿宋_GB2312" w:eastAsia="仿宋_GB2312"/>
                <w:sz w:val="20"/>
              </w:rPr>
              <w:t>车型一：中巴车</w:t>
            </w:r>
            <w:r>
              <w:rPr>
                <w:rFonts w:ascii="仿宋_GB2312" w:hAnsi="仿宋_GB2312" w:cs="仿宋_GB2312" w:eastAsia="仿宋_GB2312"/>
                <w:sz w:val="20"/>
              </w:rPr>
              <w:t>1</w:t>
            </w:r>
            <w:r>
              <w:rPr>
                <w:rFonts w:ascii="仿宋_GB2312" w:hAnsi="仿宋_GB2312" w:cs="仿宋_GB2312" w:eastAsia="仿宋_GB2312"/>
                <w:sz w:val="20"/>
              </w:rPr>
              <w:t>辆</w:t>
            </w:r>
            <w:r>
              <w:rPr>
                <w:rFonts w:ascii="仿宋_GB2312" w:hAnsi="仿宋_GB2312" w:cs="仿宋_GB2312" w:eastAsia="仿宋_GB2312"/>
                <w:sz w:val="20"/>
              </w:rPr>
              <w:t xml:space="preserve">          </w:t>
            </w:r>
          </w:p>
          <w:p>
            <w:pPr>
              <w:pStyle w:val="null3"/>
            </w:pPr>
            <w:r>
              <w:rPr>
                <w:rFonts w:ascii="仿宋_GB2312" w:hAnsi="仿宋_GB2312" w:cs="仿宋_GB2312" w:eastAsia="仿宋_GB2312"/>
                <w:sz w:val="20"/>
              </w:rPr>
              <w:t>性能要求：排量≥</w:t>
            </w:r>
            <w:r>
              <w:rPr>
                <w:rFonts w:ascii="仿宋_GB2312" w:hAnsi="仿宋_GB2312" w:cs="仿宋_GB2312" w:eastAsia="仿宋_GB2312"/>
                <w:sz w:val="20"/>
              </w:rPr>
              <w:t>3.5L</w:t>
            </w:r>
            <w:r>
              <w:rPr>
                <w:rFonts w:ascii="仿宋_GB2312" w:hAnsi="仿宋_GB2312" w:cs="仿宋_GB2312" w:eastAsia="仿宋_GB2312"/>
                <w:sz w:val="20"/>
              </w:rPr>
              <w:t>，排放标准不低于国</w:t>
            </w:r>
            <w:r>
              <w:rPr>
                <w:rFonts w:ascii="仿宋_GB2312" w:hAnsi="仿宋_GB2312" w:cs="仿宋_GB2312" w:eastAsia="仿宋_GB2312"/>
                <w:sz w:val="20"/>
              </w:rPr>
              <w:t>IV</w:t>
            </w:r>
            <w:r>
              <w:rPr>
                <w:rFonts w:ascii="仿宋_GB2312" w:hAnsi="仿宋_GB2312" w:cs="仿宋_GB2312" w:eastAsia="仿宋_GB2312"/>
                <w:sz w:val="20"/>
              </w:rPr>
              <w:t>，座位数≥</w:t>
            </w:r>
            <w:r>
              <w:rPr>
                <w:rFonts w:ascii="仿宋_GB2312" w:hAnsi="仿宋_GB2312" w:cs="仿宋_GB2312" w:eastAsia="仿宋_GB2312"/>
                <w:sz w:val="20"/>
              </w:rPr>
              <w:t>17</w:t>
            </w:r>
            <w:r>
              <w:rPr>
                <w:rFonts w:ascii="仿宋_GB2312" w:hAnsi="仿宋_GB2312" w:cs="仿宋_GB2312" w:eastAsia="仿宋_GB2312"/>
                <w:sz w:val="20"/>
              </w:rPr>
              <w:t>座，皮质座椅，车辆年限：</w:t>
            </w:r>
            <w:r>
              <w:rPr>
                <w:rFonts w:ascii="仿宋_GB2312" w:hAnsi="仿宋_GB2312" w:cs="仿宋_GB2312" w:eastAsia="仿宋_GB2312"/>
                <w:sz w:val="20"/>
              </w:rPr>
              <w:t>6</w:t>
            </w:r>
            <w:r>
              <w:rPr>
                <w:rFonts w:ascii="仿宋_GB2312" w:hAnsi="仿宋_GB2312" w:cs="仿宋_GB2312" w:eastAsia="仿宋_GB2312"/>
                <w:sz w:val="20"/>
              </w:rPr>
              <w:t>年以内。</w:t>
            </w:r>
          </w:p>
          <w:p>
            <w:pPr>
              <w:pStyle w:val="null3"/>
            </w:pPr>
            <w:r>
              <w:rPr>
                <w:rFonts w:ascii="仿宋_GB2312" w:hAnsi="仿宋_GB2312" w:cs="仿宋_GB2312" w:eastAsia="仿宋_GB2312"/>
                <w:sz w:val="20"/>
              </w:rPr>
              <w:t>车型二：商务车</w:t>
            </w:r>
            <w:r>
              <w:rPr>
                <w:rFonts w:ascii="仿宋_GB2312" w:hAnsi="仿宋_GB2312" w:cs="仿宋_GB2312" w:eastAsia="仿宋_GB2312"/>
                <w:sz w:val="20"/>
              </w:rPr>
              <w:t>2</w:t>
            </w:r>
            <w:r>
              <w:rPr>
                <w:rFonts w:ascii="仿宋_GB2312" w:hAnsi="仿宋_GB2312" w:cs="仿宋_GB2312" w:eastAsia="仿宋_GB2312"/>
                <w:sz w:val="20"/>
              </w:rPr>
              <w:t>辆</w:t>
            </w:r>
          </w:p>
          <w:p>
            <w:pPr>
              <w:pStyle w:val="null3"/>
            </w:pPr>
            <w:r>
              <w:rPr>
                <w:rFonts w:ascii="仿宋_GB2312" w:hAnsi="仿宋_GB2312" w:cs="仿宋_GB2312" w:eastAsia="仿宋_GB2312"/>
                <w:sz w:val="21"/>
              </w:rPr>
              <w:t>性能要求：排量</w:t>
            </w:r>
            <w:r>
              <w:rPr>
                <w:rFonts w:ascii="仿宋_GB2312" w:hAnsi="仿宋_GB2312" w:cs="仿宋_GB2312" w:eastAsia="仿宋_GB2312"/>
                <w:sz w:val="21"/>
              </w:rPr>
              <w:t>≥1.8L</w:t>
            </w:r>
            <w:r>
              <w:rPr>
                <w:rFonts w:ascii="仿宋_GB2312" w:hAnsi="仿宋_GB2312" w:cs="仿宋_GB2312" w:eastAsia="仿宋_GB2312"/>
                <w:sz w:val="21"/>
              </w:rPr>
              <w:t>，排放标准不低于国</w:t>
            </w:r>
            <w:r>
              <w:rPr>
                <w:rFonts w:ascii="仿宋_GB2312" w:hAnsi="仿宋_GB2312" w:cs="仿宋_GB2312" w:eastAsia="仿宋_GB2312"/>
                <w:sz w:val="21"/>
              </w:rPr>
              <w:t>VI</w:t>
            </w:r>
            <w:r>
              <w:rPr>
                <w:rFonts w:ascii="仿宋_GB2312" w:hAnsi="仿宋_GB2312" w:cs="仿宋_GB2312" w:eastAsia="仿宋_GB2312"/>
                <w:sz w:val="21"/>
              </w:rPr>
              <w:t>，座位数</w:t>
            </w:r>
            <w:r>
              <w:rPr>
                <w:rFonts w:ascii="仿宋_GB2312" w:hAnsi="仿宋_GB2312" w:cs="仿宋_GB2312" w:eastAsia="仿宋_GB2312"/>
                <w:sz w:val="21"/>
              </w:rPr>
              <w:t>≥7</w:t>
            </w:r>
            <w:r>
              <w:rPr>
                <w:rFonts w:ascii="仿宋_GB2312" w:hAnsi="仿宋_GB2312" w:cs="仿宋_GB2312" w:eastAsia="仿宋_GB2312"/>
                <w:sz w:val="21"/>
              </w:rPr>
              <w:t>座，皮质座椅，车辆年限：</w:t>
            </w:r>
            <w:r>
              <w:rPr>
                <w:rFonts w:ascii="仿宋_GB2312" w:hAnsi="仿宋_GB2312" w:cs="仿宋_GB2312" w:eastAsia="仿宋_GB2312"/>
                <w:sz w:val="21"/>
              </w:rPr>
              <w:t>6</w:t>
            </w:r>
            <w:r>
              <w:rPr>
                <w:rFonts w:ascii="仿宋_GB2312" w:hAnsi="仿宋_GB2312" w:cs="仿宋_GB2312" w:eastAsia="仿宋_GB2312"/>
                <w:sz w:val="21"/>
              </w:rPr>
              <w:t>年以内。</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按照采购人要求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结算方式采用先用车后结算，按照实际用车次数每月结算一次，乙方于出车后次月5个工作日内向甲方开具租赁发票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12.00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成交供应商领取通知书时提供纸质文件2份，纸质版文件须是电子化交易平台系统生成的响应文件。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（1）投标人合法注册的法人或其他组织的营业执照等证明文件，自然人的身份证明； （2）具有良好的商业信誉和健全的财务会计制度（提供会计师事务所出具的2023或2024年度审计报告（须赋验证码），或递交响应文件截止之日前六个月内银行开具的资信证明，或信用担保机构出具的担保函（以上三种形式的资料提供任何一种即可））； （3）具备履行合同所必需的设备和专业技术能力的证明材料或承诺书； （4）有依法缴纳税收和社会保障资金的良好记录相关证明材料； （5）参加政府采购活动前三年内，在经营活动中没有重大违法记录的书面声明；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磋商授权</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的参保缴费证明（须赋可查询的验证编号或验证二维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w:t>
            </w:r>
          </w:p>
        </w:tc>
        <w:tc>
          <w:tcPr>
            <w:tcW w:type="dxa" w:w="3322"/>
          </w:tcPr>
          <w:p>
            <w:pPr>
              <w:pStyle w:val="null3"/>
            </w:pPr>
            <w:r>
              <w:rPr>
                <w:rFonts w:ascii="仿宋_GB2312" w:hAnsi="仿宋_GB2312" w:cs="仿宋_GB2312" w:eastAsia="仿宋_GB2312"/>
              </w:rPr>
              <w:t>供应商具有道路运政管理机构核发有效的《道路运输经营许可证》，经营范围须包含客运。</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盖章</w:t>
            </w:r>
          </w:p>
        </w:tc>
        <w:tc>
          <w:tcPr>
            <w:tcW w:type="dxa" w:w="3322"/>
          </w:tcPr>
          <w:p>
            <w:pPr>
              <w:pStyle w:val="null3"/>
            </w:pPr>
            <w:r>
              <w:rPr>
                <w:rFonts w:ascii="仿宋_GB2312" w:hAnsi="仿宋_GB2312" w:cs="仿宋_GB2312" w:eastAsia="仿宋_GB2312"/>
              </w:rPr>
              <w:t>磋商响应文件加盖供应商单位公章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签字</w:t>
            </w:r>
          </w:p>
        </w:tc>
        <w:tc>
          <w:tcPr>
            <w:tcW w:type="dxa" w:w="3322"/>
          </w:tcPr>
          <w:p>
            <w:pPr>
              <w:pStyle w:val="null3"/>
            </w:pPr>
            <w:r>
              <w:rPr>
                <w:rFonts w:ascii="仿宋_GB2312" w:hAnsi="仿宋_GB2312" w:cs="仿宋_GB2312" w:eastAsia="仿宋_GB2312"/>
              </w:rPr>
              <w:t>磋商响应文件按磋商文件要求法定代表人（或负责人）或其授权代表签字</w:t>
            </w:r>
          </w:p>
        </w:tc>
        <w:tc>
          <w:tcPr>
            <w:tcW w:type="dxa" w:w="1661"/>
          </w:tcPr>
          <w:p>
            <w:pPr>
              <w:pStyle w:val="null3"/>
            </w:pPr>
            <w:r>
              <w:rPr>
                <w:rFonts w:ascii="仿宋_GB2312" w:hAnsi="仿宋_GB2312" w:cs="仿宋_GB2312" w:eastAsia="仿宋_GB2312"/>
              </w:rPr>
              <w:t>资格证明文件.docx 报价明细表.docx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有效期达到磋商文件的要求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选择性报价</w:t>
            </w:r>
          </w:p>
        </w:tc>
        <w:tc>
          <w:tcPr>
            <w:tcW w:type="dxa" w:w="3322"/>
          </w:tcPr>
          <w:p>
            <w:pPr>
              <w:pStyle w:val="null3"/>
            </w:pPr>
            <w:r>
              <w:rPr>
                <w:rFonts w:ascii="仿宋_GB2312" w:hAnsi="仿宋_GB2312" w:cs="仿宋_GB2312" w:eastAsia="仿宋_GB2312"/>
              </w:rPr>
              <w:t>供应商磋商报价未出现选择性报价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报价不得超出采购预算或最高限价</w:t>
            </w:r>
          </w:p>
        </w:tc>
        <w:tc>
          <w:tcPr>
            <w:tcW w:type="dxa" w:w="3322"/>
          </w:tcPr>
          <w:p>
            <w:pPr>
              <w:pStyle w:val="null3"/>
            </w:pPr>
            <w:r>
              <w:rPr>
                <w:rFonts w:ascii="仿宋_GB2312" w:hAnsi="仿宋_GB2312" w:cs="仿宋_GB2312" w:eastAsia="仿宋_GB2312"/>
              </w:rPr>
              <w:t>磋商报价未超出采购预算或最高限价</w:t>
            </w:r>
          </w:p>
        </w:tc>
        <w:tc>
          <w:tcPr>
            <w:tcW w:type="dxa" w:w="1661"/>
          </w:tcPr>
          <w:p>
            <w:pPr>
              <w:pStyle w:val="null3"/>
            </w:pPr>
            <w:r>
              <w:rPr>
                <w:rFonts w:ascii="仿宋_GB2312" w:hAnsi="仿宋_GB2312" w:cs="仿宋_GB2312" w:eastAsia="仿宋_GB2312"/>
              </w:rPr>
              <w:t>标的清单 报价表 报价明细表.docx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响应文件中技术、服务内容须达到采购要求，不得出现重大负偏差，降低服务要求</w:t>
            </w:r>
          </w:p>
        </w:tc>
        <w:tc>
          <w:tcPr>
            <w:tcW w:type="dxa" w:w="3322"/>
          </w:tcPr>
          <w:p>
            <w:pPr>
              <w:pStyle w:val="null3"/>
            </w:pPr>
            <w:r>
              <w:rPr>
                <w:rFonts w:ascii="仿宋_GB2312" w:hAnsi="仿宋_GB2312" w:cs="仿宋_GB2312" w:eastAsia="仿宋_GB2312"/>
              </w:rPr>
              <w:t>技术、服务内容达到采购要求，未出现重大负偏差，未降低了服务要求</w:t>
            </w:r>
          </w:p>
        </w:tc>
        <w:tc>
          <w:tcPr>
            <w:tcW w:type="dxa" w:w="1661"/>
          </w:tcPr>
          <w:p>
            <w:pPr>
              <w:pStyle w:val="null3"/>
            </w:pPr>
            <w:r>
              <w:rPr>
                <w:rFonts w:ascii="仿宋_GB2312" w:hAnsi="仿宋_GB2312" w:cs="仿宋_GB2312" w:eastAsia="仿宋_GB2312"/>
              </w:rPr>
              <w:t>采购需求偏离表.docx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响应文件中不得附加了采购人难以接受的条件</w:t>
            </w:r>
          </w:p>
        </w:tc>
        <w:tc>
          <w:tcPr>
            <w:tcW w:type="dxa" w:w="3322"/>
          </w:tcPr>
          <w:p>
            <w:pPr>
              <w:pStyle w:val="null3"/>
            </w:pPr>
            <w:r>
              <w:rPr>
                <w:rFonts w:ascii="仿宋_GB2312" w:hAnsi="仿宋_GB2312" w:cs="仿宋_GB2312" w:eastAsia="仿宋_GB2312"/>
              </w:rPr>
              <w:t>响应文件中未附加采购人难以接受的条件</w:t>
            </w:r>
          </w:p>
        </w:tc>
        <w:tc>
          <w:tcPr>
            <w:tcW w:type="dxa" w:w="1661"/>
          </w:tcPr>
          <w:p>
            <w:pPr>
              <w:pStyle w:val="null3"/>
            </w:pPr>
            <w:r>
              <w:rPr>
                <w:rFonts w:ascii="仿宋_GB2312" w:hAnsi="仿宋_GB2312" w:cs="仿宋_GB2312" w:eastAsia="仿宋_GB2312"/>
              </w:rPr>
              <w:t>商务要求（合同草案条款）偏离表.docx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信用查询中列入失信被执行人、重大税收违法案件当事人名单、政府采购严重违法失信行为记录名单及其他不符合《中华人民共和国政府采购法》第二十二条规定条件的供应商，拒绝参与政府采购活动。</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1、针对本项目服务内容进行重点、难点分析，分析全面、合理，按其响应程度计0~5分。 2、提供具体服务方案，科学、合理，考虑全面，按其响应程度计0~5分。 3、提供针对本项目服务期间的安全保障措施，按其响应程度计0~5分。 4、提供针对本项目服务期间安全责任划分标准，按其响应程度计0~5分。 5、提供针对本项目服务期间安全事故的应对措施，按其响应程度计0~5分。 6、提供针对本项目提供详细可行的应急预案及措施，按其响应程度计0~5分。 7、供应商有明确的服务承诺和合理化建议，按其响应程度计0~5分。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 制度及人员情况</w:t>
            </w:r>
          </w:p>
        </w:tc>
        <w:tc>
          <w:tcPr>
            <w:tcW w:type="dxa" w:w="2492"/>
          </w:tcPr>
          <w:p>
            <w:pPr>
              <w:pStyle w:val="null3"/>
            </w:pPr>
            <w:r>
              <w:rPr>
                <w:rFonts w:ascii="仿宋_GB2312" w:hAnsi="仿宋_GB2312" w:cs="仿宋_GB2312" w:eastAsia="仿宋_GB2312"/>
              </w:rPr>
              <w:t>1、管理制度及考核制度健全，按其响应程度计0~5分。 2、拟派管理人员情况评审，按其响应程度计0~5分。 3、拟派驾驶员情况评审，按其响应程度计0~5分。 4、其他相关人员情况评审，按其响应程度计0~5分。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车辆 状况</w:t>
            </w:r>
          </w:p>
        </w:tc>
        <w:tc>
          <w:tcPr>
            <w:tcW w:type="dxa" w:w="2492"/>
          </w:tcPr>
          <w:p>
            <w:pPr>
              <w:pStyle w:val="null3"/>
            </w:pPr>
            <w:r>
              <w:rPr>
                <w:rFonts w:ascii="仿宋_GB2312" w:hAnsi="仿宋_GB2312" w:cs="仿宋_GB2312" w:eastAsia="仿宋_GB2312"/>
              </w:rPr>
              <w:t>1、拟派车辆性能评审，按其响应程度计0~5分。 2、拟派车辆外观评审，按其响应程度计0~5分。 3、拟派车辆内部配置评审，按其响应程度计0~5分。 4、拟派车辆保养情况评审，按其响应程度计0~5分。 5、拟派车辆投保情况评审，按其响应程度计0~5分。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供应商提供2022年1月（以合同签订时间为准）至今同类项目业绩，业绩以合同为依据，响应文件中附有其证明资料，每提供一个业绩证明计2分，满分10分。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详见附件：采购需求偏离表.docx</w:t>
      </w:r>
    </w:p>
    <w:p>
      <w:pPr>
        <w:pStyle w:val="null3"/>
        <w:ind w:firstLine="960"/>
      </w:pPr>
      <w:r>
        <w:rPr>
          <w:rFonts w:ascii="仿宋_GB2312" w:hAnsi="仿宋_GB2312" w:cs="仿宋_GB2312" w:eastAsia="仿宋_GB2312"/>
        </w:rPr>
        <w:t>详见附件：商务要求（合同草案条款）偏离表.docx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详见附件：报价明细表.docx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