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43D15">
      <w:pPr>
        <w:spacing w:line="560" w:lineRule="exact"/>
        <w:jc w:val="center"/>
        <w:rPr>
          <w:b/>
          <w:bCs/>
          <w:sz w:val="36"/>
          <w:szCs w:val="36"/>
        </w:rPr>
      </w:pPr>
      <w:bookmarkStart w:id="1" w:name="_GoBack"/>
      <w:bookmarkEnd w:id="1"/>
    </w:p>
    <w:p w14:paraId="0199A91C">
      <w:pPr>
        <w:pStyle w:val="2"/>
        <w:spacing w:line="560" w:lineRule="exact"/>
        <w:rPr>
          <w:b/>
          <w:bCs/>
          <w:sz w:val="36"/>
          <w:szCs w:val="36"/>
        </w:rPr>
      </w:pPr>
    </w:p>
    <w:p w14:paraId="5913DBE3">
      <w:pPr>
        <w:pStyle w:val="2"/>
        <w:spacing w:line="560" w:lineRule="exact"/>
        <w:rPr>
          <w:b/>
          <w:bCs/>
          <w:sz w:val="36"/>
          <w:szCs w:val="36"/>
        </w:rPr>
      </w:pPr>
    </w:p>
    <w:p w14:paraId="56EC39FB">
      <w:pPr>
        <w:autoSpaceDE w:val="0"/>
        <w:autoSpaceDN w:val="0"/>
        <w:adjustRightInd w:val="0"/>
        <w:snapToGrid w:val="0"/>
        <w:spacing w:line="560" w:lineRule="exact"/>
        <w:jc w:val="center"/>
        <w:rPr>
          <w:rFonts w:ascii="宋体" w:hAnsi="宋体"/>
          <w:b/>
          <w:bCs/>
          <w:sz w:val="48"/>
          <w:szCs w:val="48"/>
        </w:rPr>
      </w:pPr>
      <w:r>
        <w:rPr>
          <w:rFonts w:hint="eastAsia" w:ascii="宋体" w:hAnsi="宋体"/>
          <w:b/>
          <w:bCs/>
          <w:sz w:val="48"/>
          <w:szCs w:val="48"/>
        </w:rPr>
        <w:t>监督性监测服务项目</w:t>
      </w:r>
    </w:p>
    <w:p w14:paraId="52E612BA">
      <w:pPr>
        <w:spacing w:line="480" w:lineRule="auto"/>
      </w:pPr>
    </w:p>
    <w:p w14:paraId="5676C3F0">
      <w:pPr>
        <w:spacing w:line="480" w:lineRule="auto"/>
      </w:pPr>
    </w:p>
    <w:p w14:paraId="6E0C8063">
      <w:pPr>
        <w:spacing w:line="560" w:lineRule="exact"/>
      </w:pPr>
    </w:p>
    <w:p w14:paraId="0C6997E3">
      <w:pPr>
        <w:spacing w:line="560" w:lineRule="exact"/>
      </w:pPr>
    </w:p>
    <w:p w14:paraId="26BE535F">
      <w:pPr>
        <w:spacing w:line="560" w:lineRule="exact"/>
      </w:pPr>
    </w:p>
    <w:p w14:paraId="3C860B75">
      <w:pPr>
        <w:spacing w:line="560" w:lineRule="exact"/>
      </w:pPr>
    </w:p>
    <w:p w14:paraId="4688ADAF">
      <w:pPr>
        <w:spacing w:line="560" w:lineRule="exact"/>
      </w:pPr>
    </w:p>
    <w:p w14:paraId="18CDDD94">
      <w:pPr>
        <w:spacing w:line="560" w:lineRule="exact"/>
      </w:pPr>
    </w:p>
    <w:p w14:paraId="5C746A2F">
      <w:pPr>
        <w:spacing w:line="560" w:lineRule="exact"/>
      </w:pPr>
    </w:p>
    <w:p w14:paraId="0866BAD8">
      <w:pPr>
        <w:spacing w:line="560" w:lineRule="exact"/>
      </w:pPr>
    </w:p>
    <w:p w14:paraId="2DC530E8">
      <w:pPr>
        <w:spacing w:line="560" w:lineRule="exact"/>
        <w:rPr>
          <w:sz w:val="30"/>
          <w:szCs w:val="30"/>
        </w:rPr>
      </w:pPr>
    </w:p>
    <w:p w14:paraId="7BFF064A">
      <w:pPr>
        <w:pStyle w:val="2"/>
        <w:spacing w:line="560" w:lineRule="exact"/>
        <w:rPr>
          <w:sz w:val="30"/>
          <w:szCs w:val="30"/>
        </w:rPr>
      </w:pPr>
    </w:p>
    <w:p w14:paraId="4D2862F9">
      <w:pPr>
        <w:pStyle w:val="2"/>
        <w:spacing w:line="560" w:lineRule="exact"/>
        <w:rPr>
          <w:sz w:val="30"/>
          <w:szCs w:val="30"/>
        </w:rPr>
      </w:pPr>
    </w:p>
    <w:p w14:paraId="50878DA0">
      <w:pPr>
        <w:spacing w:line="560" w:lineRule="exact"/>
        <w:ind w:firstLine="1280" w:firstLineChars="400"/>
        <w:rPr>
          <w:rFonts w:hint="eastAsia"/>
          <w:sz w:val="32"/>
          <w:szCs w:val="32"/>
        </w:rPr>
      </w:pPr>
      <w:r>
        <w:rPr>
          <w:rFonts w:hint="eastAsia"/>
          <w:sz w:val="32"/>
          <w:szCs w:val="32"/>
        </w:rPr>
        <w:t>甲方：</w:t>
      </w:r>
    </w:p>
    <w:p w14:paraId="0A0DB8C8">
      <w:pPr>
        <w:spacing w:line="560" w:lineRule="exact"/>
        <w:ind w:firstLine="1280" w:firstLineChars="400"/>
        <w:rPr>
          <w:sz w:val="32"/>
          <w:szCs w:val="32"/>
        </w:rPr>
      </w:pPr>
      <w:r>
        <w:rPr>
          <w:rFonts w:hint="eastAsia"/>
          <w:sz w:val="32"/>
          <w:szCs w:val="32"/>
        </w:rPr>
        <w:t>乙方：</w:t>
      </w:r>
    </w:p>
    <w:p w14:paraId="32A9FB00">
      <w:pPr>
        <w:spacing w:line="560" w:lineRule="exact"/>
      </w:pPr>
    </w:p>
    <w:p w14:paraId="1296BD4D">
      <w:pPr>
        <w:spacing w:line="560" w:lineRule="exact"/>
        <w:rPr>
          <w:rFonts w:ascii="宋体" w:hAnsi="宋体" w:cs="宋体"/>
          <w:sz w:val="30"/>
          <w:szCs w:val="30"/>
        </w:rPr>
      </w:pPr>
    </w:p>
    <w:p w14:paraId="70BF8F4E">
      <w:pPr>
        <w:pStyle w:val="8"/>
      </w:pPr>
    </w:p>
    <w:p w14:paraId="0DD4F9F4">
      <w:pPr>
        <w:pStyle w:val="8"/>
        <w:ind w:left="0" w:leftChars="0" w:firstLine="0" w:firstLineChars="0"/>
        <w:rPr>
          <w:rFonts w:ascii="宋体" w:hAnsi="宋体" w:cs="宋体"/>
          <w:sz w:val="30"/>
          <w:szCs w:val="30"/>
        </w:rPr>
      </w:pPr>
    </w:p>
    <w:p w14:paraId="784B30D2">
      <w:pPr>
        <w:spacing w:line="560" w:lineRule="exact"/>
        <w:rPr>
          <w:sz w:val="32"/>
          <w:szCs w:val="32"/>
          <w:u w:val="single"/>
        </w:rPr>
      </w:pPr>
      <w:r>
        <w:rPr>
          <w:rFonts w:hint="eastAsia" w:ascii="宋体" w:hAnsi="宋体" w:cs="宋体"/>
          <w:sz w:val="32"/>
          <w:szCs w:val="32"/>
        </w:rPr>
        <w:t>甲方：</w:t>
      </w:r>
    </w:p>
    <w:p w14:paraId="5E6BCA9E">
      <w:pPr>
        <w:spacing w:line="560" w:lineRule="exact"/>
        <w:rPr>
          <w:rFonts w:ascii="宋体" w:hAnsi="宋体" w:cs="宋体"/>
          <w:sz w:val="32"/>
          <w:szCs w:val="32"/>
        </w:rPr>
      </w:pPr>
      <w:r>
        <w:rPr>
          <w:rFonts w:hint="eastAsia" w:ascii="宋体" w:hAnsi="宋体" w:cs="宋体"/>
          <w:sz w:val="32"/>
          <w:szCs w:val="32"/>
        </w:rPr>
        <w:t>乙方：</w:t>
      </w:r>
    </w:p>
    <w:p w14:paraId="517DB3E7">
      <w:pPr>
        <w:keepNext w:val="0"/>
        <w:keepLines w:val="0"/>
        <w:pageBreakBefore w:val="0"/>
        <w:kinsoku/>
        <w:wordWrap/>
        <w:overflowPunct/>
        <w:topLinePunct w:val="0"/>
        <w:bidi w:val="0"/>
        <w:snapToGrid w:val="0"/>
        <w:spacing w:line="560" w:lineRule="exact"/>
        <w:ind w:left="0" w:leftChars="0" w:right="0" w:firstLine="627" w:firstLineChars="196"/>
        <w:rPr>
          <w:sz w:val="32"/>
          <w:szCs w:val="32"/>
        </w:rPr>
      </w:pPr>
      <w:r>
        <w:rPr>
          <w:rFonts w:hint="eastAsia"/>
          <w:sz w:val="32"/>
          <w:szCs w:val="32"/>
        </w:rPr>
        <w:t>根据《中华人民共和国</w:t>
      </w:r>
      <w:r>
        <w:rPr>
          <w:rFonts w:hint="eastAsia"/>
          <w:sz w:val="32"/>
          <w:szCs w:val="32"/>
          <w:lang w:eastAsia="zh-Hans"/>
        </w:rPr>
        <w:t>民法典</w:t>
      </w:r>
      <w:r>
        <w:rPr>
          <w:rFonts w:hint="eastAsia"/>
          <w:sz w:val="32"/>
          <w:szCs w:val="32"/>
        </w:rPr>
        <w:t>》《中华人民共和国政府采购法》等相关法律法规和政府采购工作程序，乙方作为《</w:t>
      </w:r>
      <w:r>
        <w:rPr>
          <w:rFonts w:hint="eastAsia"/>
          <w:sz w:val="32"/>
          <w:szCs w:val="32"/>
          <w:lang w:val="zh-CN"/>
        </w:rPr>
        <w:t>西安曲江新区</w:t>
      </w:r>
      <w:r>
        <w:rPr>
          <w:rFonts w:hint="eastAsia"/>
          <w:sz w:val="32"/>
          <w:szCs w:val="32"/>
        </w:rPr>
        <w:t>管理委员会生态环境局环境质量监督性监测服务采购项目》的第三方检测服务商。甲乙双方经友好协商就相关事宜达成一致意见，并订立本合同，以兹共同遵守。</w:t>
      </w:r>
    </w:p>
    <w:p w14:paraId="3AC54D94">
      <w:pPr>
        <w:keepNext w:val="0"/>
        <w:keepLines w:val="0"/>
        <w:pageBreakBefore w:val="0"/>
        <w:kinsoku/>
        <w:wordWrap/>
        <w:overflowPunct/>
        <w:topLinePunct w:val="0"/>
        <w:bidi w:val="0"/>
        <w:spacing w:line="560" w:lineRule="exact"/>
        <w:ind w:left="0" w:leftChars="0" w:right="0" w:firstLine="643" w:firstLineChars="200"/>
        <w:rPr>
          <w:rFonts w:ascii="宋体" w:hAnsi="宋体" w:cs="宋体"/>
          <w:b/>
          <w:bCs/>
          <w:sz w:val="32"/>
          <w:szCs w:val="32"/>
        </w:rPr>
      </w:pPr>
      <w:r>
        <w:rPr>
          <w:rFonts w:hint="eastAsia" w:ascii="宋体" w:hAnsi="宋体" w:cs="宋体"/>
          <w:b/>
          <w:bCs/>
          <w:sz w:val="32"/>
          <w:szCs w:val="32"/>
        </w:rPr>
        <w:t>一、合同内容</w:t>
      </w:r>
    </w:p>
    <w:p w14:paraId="77A81FE6">
      <w:pPr>
        <w:keepNext w:val="0"/>
        <w:keepLines w:val="0"/>
        <w:pageBreakBefore w:val="0"/>
        <w:kinsoku/>
        <w:wordWrap/>
        <w:overflowPunct/>
        <w:topLinePunct w:val="0"/>
        <w:bidi w:val="0"/>
        <w:spacing w:line="560" w:lineRule="exact"/>
        <w:ind w:left="0" w:leftChars="0" w:right="0" w:firstLine="640" w:firstLineChars="200"/>
        <w:rPr>
          <w:rFonts w:ascii="宋体" w:hAnsi="宋体" w:cs="宋体"/>
          <w:sz w:val="32"/>
          <w:szCs w:val="32"/>
        </w:rPr>
      </w:pPr>
      <w:r>
        <w:rPr>
          <w:rFonts w:hint="eastAsia" w:ascii="宋体" w:hAnsi="宋体" w:cs="宋体"/>
          <w:sz w:val="32"/>
          <w:szCs w:val="32"/>
        </w:rPr>
        <w:t xml:space="preserve">为加强对大气、地表水、土壤及声环境质量等的监督性监测，进一步完善生态环境质量监测体系，保障环境监督执法工作的科学性、公正性和权威性，由甲方根据环境监测相关法律法规、技术标准，并结合曲江新区实际情况，指导乙方开展大气、水、土壤环境质量监督性监测工作，具体包括有机废气、废水、河湖水质和环境噪声等方面监督性监测、应急监测等。乙方按甲方要求和相关工作程序完成各项工作后，向甲方出具符合国家标准及技术规范的监测报告等成果文件。 </w:t>
      </w:r>
    </w:p>
    <w:p w14:paraId="0107967A">
      <w:pPr>
        <w:keepNext w:val="0"/>
        <w:keepLines w:val="0"/>
        <w:pageBreakBefore w:val="0"/>
        <w:kinsoku/>
        <w:wordWrap/>
        <w:overflowPunct/>
        <w:topLinePunct w:val="0"/>
        <w:bidi w:val="0"/>
        <w:spacing w:line="560" w:lineRule="exact"/>
        <w:ind w:left="0" w:leftChars="0" w:right="0" w:firstLine="643" w:firstLineChars="200"/>
        <w:rPr>
          <w:rFonts w:ascii="宋体" w:hAnsi="宋体" w:cs="宋体"/>
          <w:b/>
          <w:bCs/>
          <w:sz w:val="32"/>
          <w:szCs w:val="32"/>
        </w:rPr>
      </w:pPr>
      <w:r>
        <w:rPr>
          <w:rFonts w:hint="eastAsia" w:ascii="宋体" w:hAnsi="宋体" w:cs="宋体"/>
          <w:b/>
          <w:bCs/>
          <w:sz w:val="32"/>
          <w:szCs w:val="32"/>
        </w:rPr>
        <w:t>二、合同价款</w:t>
      </w:r>
    </w:p>
    <w:p w14:paraId="4C0BFD08">
      <w:pPr>
        <w:keepNext w:val="0"/>
        <w:keepLines w:val="0"/>
        <w:pageBreakBefore w:val="0"/>
        <w:tabs>
          <w:tab w:val="left" w:pos="735"/>
        </w:tabs>
        <w:kinsoku/>
        <w:wordWrap/>
        <w:overflowPunct/>
        <w:topLinePunct w:val="0"/>
        <w:bidi w:val="0"/>
        <w:adjustRightInd w:val="0"/>
        <w:snapToGrid w:val="0"/>
        <w:spacing w:line="560" w:lineRule="exact"/>
        <w:ind w:left="0" w:leftChars="0" w:right="0" w:firstLine="672" w:firstLineChars="210"/>
        <w:rPr>
          <w:rFonts w:hint="eastAsia" w:ascii="宋体" w:hAnsi="宋体" w:cs="宋体"/>
          <w:sz w:val="32"/>
          <w:szCs w:val="32"/>
          <w:lang w:val="zh-CN"/>
        </w:rPr>
      </w:pPr>
      <w:r>
        <w:rPr>
          <w:rFonts w:hint="eastAsia" w:ascii="宋体" w:hAnsi="宋体" w:cs="宋体"/>
          <w:sz w:val="32"/>
          <w:szCs w:val="32"/>
        </w:rPr>
        <w:t>1、合同总价（含税）</w:t>
      </w:r>
      <w:r>
        <w:rPr>
          <w:rFonts w:hint="eastAsia" w:ascii="宋体" w:hAnsi="宋体" w:cs="宋体"/>
          <w:sz w:val="32"/>
          <w:szCs w:val="32"/>
          <w:lang w:val="zh-CN"/>
        </w:rPr>
        <w:t>：人民币（大写）</w:t>
      </w:r>
    </w:p>
    <w:p w14:paraId="5B3C5328">
      <w:pPr>
        <w:keepNext w:val="0"/>
        <w:keepLines w:val="0"/>
        <w:pageBreakBefore w:val="0"/>
        <w:tabs>
          <w:tab w:val="left" w:pos="735"/>
        </w:tabs>
        <w:kinsoku/>
        <w:wordWrap/>
        <w:overflowPunct/>
        <w:topLinePunct w:val="0"/>
        <w:bidi w:val="0"/>
        <w:adjustRightInd w:val="0"/>
        <w:snapToGrid w:val="0"/>
        <w:spacing w:line="560" w:lineRule="exact"/>
        <w:ind w:left="0" w:leftChars="0" w:right="0" w:firstLine="672" w:firstLineChars="210"/>
        <w:rPr>
          <w:rFonts w:ascii="宋体" w:hAnsi="宋体" w:cs="宋体"/>
          <w:sz w:val="32"/>
          <w:szCs w:val="32"/>
          <w:lang w:val="zh-CN"/>
        </w:rPr>
      </w:pPr>
      <w:r>
        <w:rPr>
          <w:rFonts w:hint="eastAsia" w:ascii="宋体" w:hAnsi="宋体" w:cs="宋体"/>
          <w:sz w:val="32"/>
          <w:szCs w:val="32"/>
        </w:rPr>
        <w:t>（费用</w:t>
      </w:r>
      <w:r>
        <w:rPr>
          <w:rFonts w:hint="eastAsia" w:ascii="宋体" w:hAnsi="宋体" w:cs="宋体"/>
          <w:sz w:val="32"/>
          <w:szCs w:val="32"/>
          <w:lang w:eastAsia="zh-CN"/>
        </w:rPr>
        <w:t>单价</w:t>
      </w:r>
      <w:r>
        <w:rPr>
          <w:rFonts w:hint="eastAsia" w:ascii="宋体" w:hAnsi="宋体" w:cs="宋体"/>
          <w:sz w:val="32"/>
          <w:szCs w:val="32"/>
        </w:rPr>
        <w:t>明细详见《曲江新区监督性监测实施计划表》）</w:t>
      </w:r>
      <w:r>
        <w:rPr>
          <w:rFonts w:hint="eastAsia" w:ascii="宋体" w:hAnsi="宋体" w:cs="宋体"/>
          <w:sz w:val="32"/>
          <w:szCs w:val="32"/>
          <w:lang w:val="zh-CN"/>
        </w:rPr>
        <w:t>。</w:t>
      </w:r>
    </w:p>
    <w:p w14:paraId="300CDD03">
      <w:pPr>
        <w:keepNext w:val="0"/>
        <w:keepLines w:val="0"/>
        <w:pageBreakBefore w:val="0"/>
        <w:kinsoku/>
        <w:wordWrap/>
        <w:overflowPunct/>
        <w:topLinePunct w:val="0"/>
        <w:bidi w:val="0"/>
        <w:adjustRightInd w:val="0"/>
        <w:snapToGrid w:val="0"/>
        <w:spacing w:line="560" w:lineRule="exact"/>
        <w:ind w:left="0" w:leftChars="0" w:right="0" w:firstLine="640" w:firstLineChars="200"/>
        <w:rPr>
          <w:rFonts w:ascii="宋体" w:hAnsi="宋体" w:cs="宋体"/>
          <w:kern w:val="0"/>
          <w:sz w:val="32"/>
          <w:szCs w:val="32"/>
          <w:u w:val="single"/>
        </w:rPr>
      </w:pPr>
      <w:r>
        <w:rPr>
          <w:rFonts w:hint="eastAsia" w:ascii="宋体" w:hAnsi="宋体" w:cs="宋体"/>
          <w:sz w:val="32"/>
          <w:szCs w:val="32"/>
        </w:rPr>
        <w:t>2、合同总价包括：直接费、间接费、利润、税金、规费及其它乙方为完成本合同所需的全部费用。</w:t>
      </w:r>
    </w:p>
    <w:p w14:paraId="4568A8AC">
      <w:pPr>
        <w:keepNext w:val="0"/>
        <w:keepLines w:val="0"/>
        <w:pageBreakBefore w:val="0"/>
        <w:tabs>
          <w:tab w:val="left" w:pos="735"/>
        </w:tabs>
        <w:kinsoku/>
        <w:wordWrap/>
        <w:overflowPunct/>
        <w:topLinePunct w:val="0"/>
        <w:bidi w:val="0"/>
        <w:adjustRightInd w:val="0"/>
        <w:snapToGrid w:val="0"/>
        <w:spacing w:line="560" w:lineRule="exact"/>
        <w:ind w:left="0" w:leftChars="0" w:right="0" w:firstLine="675" w:firstLineChars="210"/>
        <w:rPr>
          <w:rFonts w:ascii="宋体" w:hAnsi="宋体" w:cs="宋体"/>
          <w:b/>
          <w:sz w:val="32"/>
          <w:szCs w:val="32"/>
        </w:rPr>
      </w:pPr>
      <w:r>
        <w:rPr>
          <w:rFonts w:hint="eastAsia" w:ascii="宋体" w:hAnsi="宋体" w:cs="宋体"/>
          <w:b/>
          <w:sz w:val="32"/>
          <w:szCs w:val="32"/>
        </w:rPr>
        <w:t>三、合同结算</w:t>
      </w:r>
    </w:p>
    <w:p w14:paraId="2BE65ABD">
      <w:pPr>
        <w:keepNext w:val="0"/>
        <w:keepLines w:val="0"/>
        <w:pageBreakBefore w:val="0"/>
        <w:kinsoku/>
        <w:wordWrap/>
        <w:overflowPunct/>
        <w:topLinePunct w:val="0"/>
        <w:bidi w:val="0"/>
        <w:adjustRightInd w:val="0"/>
        <w:snapToGrid w:val="0"/>
        <w:spacing w:line="560" w:lineRule="exact"/>
        <w:ind w:left="0" w:leftChars="0" w:right="0" w:firstLine="640" w:firstLineChars="200"/>
        <w:rPr>
          <w:rFonts w:ascii="宋体" w:hAnsi="宋体" w:cs="宋体"/>
          <w:sz w:val="32"/>
          <w:szCs w:val="32"/>
        </w:rPr>
      </w:pPr>
      <w:r>
        <w:rPr>
          <w:rFonts w:hint="eastAsia" w:ascii="宋体" w:hAnsi="宋体" w:cs="宋体"/>
          <w:sz w:val="32"/>
          <w:szCs w:val="32"/>
        </w:rPr>
        <w:t>1、结算进度。</w:t>
      </w:r>
    </w:p>
    <w:p w14:paraId="246BC5AC">
      <w:pPr>
        <w:pStyle w:val="2"/>
        <w:keepNext w:val="0"/>
        <w:keepLines w:val="0"/>
        <w:pageBreakBefore w:val="0"/>
        <w:kinsoku/>
        <w:wordWrap/>
        <w:overflowPunct/>
        <w:topLinePunct w:val="0"/>
        <w:bidi w:val="0"/>
        <w:spacing w:after="0" w:line="560" w:lineRule="exact"/>
        <w:ind w:left="0" w:leftChars="0" w:right="0" w:firstLine="640" w:firstLineChars="200"/>
        <w:rPr>
          <w:rFonts w:ascii="宋体" w:hAnsi="宋体" w:cs="宋体"/>
          <w:color w:val="FF0000"/>
          <w:sz w:val="32"/>
          <w:szCs w:val="32"/>
        </w:rPr>
      </w:pPr>
      <w:r>
        <w:rPr>
          <w:rFonts w:hint="eastAsia" w:ascii="宋体" w:hAnsi="宋体" w:cs="宋体"/>
          <w:sz w:val="32"/>
          <w:szCs w:val="32"/>
        </w:rPr>
        <w:t>合同生效后，每季度末结算一次。每季度服务费根据乙方实际出具的经甲方认可的监测报告数量进行据实结算（依据《陕西省环境监测技术服务收费标准》陕环字(2009)75号等文件），由甲方向乙方</w:t>
      </w:r>
      <w:r>
        <w:rPr>
          <w:rFonts w:hint="eastAsia" w:ascii="宋体" w:hAnsi="宋体" w:cs="宋体"/>
          <w:sz w:val="32"/>
          <w:szCs w:val="32"/>
          <w:lang w:eastAsia="zh-CN"/>
        </w:rPr>
        <w:t>根据服务情况</w:t>
      </w:r>
      <w:r>
        <w:rPr>
          <w:rFonts w:hint="eastAsia" w:ascii="宋体" w:hAnsi="宋体" w:cs="宋体"/>
          <w:sz w:val="32"/>
          <w:szCs w:val="32"/>
        </w:rPr>
        <w:t>支付当期费用。</w:t>
      </w:r>
      <w:r>
        <w:rPr>
          <w:rFonts w:hint="eastAsia" w:ascii="宋体" w:hAnsi="宋体" w:cs="宋体"/>
          <w:sz w:val="32"/>
          <w:szCs w:val="32"/>
          <w:lang w:eastAsia="zh-CN"/>
        </w:rPr>
        <w:t>总费用不能超过合同总价。</w:t>
      </w:r>
      <w:r>
        <w:rPr>
          <w:rFonts w:hint="eastAsia" w:ascii="宋体" w:hAnsi="宋体" w:cs="宋体"/>
          <w:sz w:val="32"/>
          <w:szCs w:val="32"/>
        </w:rPr>
        <w:t>每期结算款支付前，由乙方提供甲方财务部门认可的正式等额增值普通发票、收款收据和当期所有监测项目费用清单，经甲方验收合格后，甲方支付该期费用。</w:t>
      </w:r>
    </w:p>
    <w:p w14:paraId="5DBF7861">
      <w:pPr>
        <w:keepNext w:val="0"/>
        <w:keepLines w:val="0"/>
        <w:pageBreakBefore w:val="0"/>
        <w:kinsoku/>
        <w:wordWrap/>
        <w:overflowPunct/>
        <w:topLinePunct w:val="0"/>
        <w:bidi w:val="0"/>
        <w:spacing w:line="560" w:lineRule="exact"/>
        <w:ind w:left="0" w:leftChars="0" w:right="0" w:firstLine="640" w:firstLineChars="200"/>
        <w:rPr>
          <w:rFonts w:ascii="宋体" w:hAnsi="宋体" w:cs="宋体"/>
          <w:sz w:val="32"/>
          <w:szCs w:val="32"/>
        </w:rPr>
      </w:pPr>
      <w:r>
        <w:rPr>
          <w:rFonts w:hint="eastAsia" w:ascii="宋体" w:hAnsi="宋体" w:cs="宋体"/>
          <w:sz w:val="32"/>
          <w:szCs w:val="32"/>
        </w:rPr>
        <w:t>2、结算方式：银行转账。</w:t>
      </w:r>
      <w:bookmarkStart w:id="0" w:name="_GoBack"/>
      <w:bookmarkEnd w:id="0"/>
    </w:p>
    <w:p w14:paraId="3718CFF1">
      <w:pPr>
        <w:keepNext w:val="0"/>
        <w:keepLines w:val="0"/>
        <w:pageBreakBefore w:val="0"/>
        <w:kinsoku/>
        <w:wordWrap/>
        <w:overflowPunct/>
        <w:topLinePunct w:val="0"/>
        <w:bidi w:val="0"/>
        <w:spacing w:line="560" w:lineRule="exact"/>
        <w:ind w:left="0" w:leftChars="0" w:right="0" w:firstLine="640" w:firstLineChars="200"/>
        <w:rPr>
          <w:rFonts w:ascii="宋体" w:hAnsi="宋体" w:cs="宋体"/>
          <w:sz w:val="32"/>
          <w:szCs w:val="32"/>
        </w:rPr>
      </w:pPr>
      <w:r>
        <w:rPr>
          <w:rFonts w:hint="eastAsia" w:ascii="宋体" w:hAnsi="宋体" w:cs="宋体"/>
          <w:sz w:val="32"/>
          <w:szCs w:val="32"/>
        </w:rPr>
        <w:t>户  名：</w:t>
      </w:r>
    </w:p>
    <w:p w14:paraId="60DB0D11">
      <w:pPr>
        <w:keepNext w:val="0"/>
        <w:keepLines w:val="0"/>
        <w:pageBreakBefore w:val="0"/>
        <w:kinsoku/>
        <w:wordWrap/>
        <w:overflowPunct/>
        <w:topLinePunct w:val="0"/>
        <w:bidi w:val="0"/>
        <w:spacing w:line="560" w:lineRule="exact"/>
        <w:ind w:left="0" w:leftChars="0" w:right="0" w:firstLine="640" w:firstLineChars="200"/>
        <w:rPr>
          <w:sz w:val="32"/>
          <w:szCs w:val="32"/>
        </w:rPr>
      </w:pPr>
      <w:r>
        <w:rPr>
          <w:rFonts w:hint="eastAsia" w:ascii="宋体" w:hAnsi="宋体" w:cs="宋体"/>
          <w:sz w:val="32"/>
          <w:szCs w:val="32"/>
        </w:rPr>
        <w:t>开户行：</w:t>
      </w:r>
    </w:p>
    <w:p w14:paraId="5DE24B5B">
      <w:pPr>
        <w:keepNext w:val="0"/>
        <w:keepLines w:val="0"/>
        <w:pageBreakBefore w:val="0"/>
        <w:kinsoku/>
        <w:wordWrap/>
        <w:overflowPunct/>
        <w:topLinePunct w:val="0"/>
        <w:bidi w:val="0"/>
        <w:spacing w:line="560" w:lineRule="exact"/>
        <w:ind w:left="0" w:leftChars="0" w:right="0" w:firstLine="640" w:firstLineChars="200"/>
        <w:rPr>
          <w:rFonts w:ascii="宋体" w:hAnsi="宋体" w:cs="宋体"/>
          <w:sz w:val="32"/>
          <w:szCs w:val="32"/>
        </w:rPr>
      </w:pPr>
      <w:r>
        <w:rPr>
          <w:rFonts w:hint="eastAsia" w:ascii="宋体" w:hAnsi="宋体" w:cs="宋体"/>
          <w:sz w:val="32"/>
          <w:szCs w:val="32"/>
        </w:rPr>
        <w:t>账  号：</w:t>
      </w:r>
    </w:p>
    <w:p w14:paraId="09F826F6">
      <w:pPr>
        <w:keepNext w:val="0"/>
        <w:keepLines w:val="0"/>
        <w:pageBreakBefore w:val="0"/>
        <w:kinsoku/>
        <w:wordWrap/>
        <w:overflowPunct/>
        <w:topLinePunct w:val="0"/>
        <w:bidi w:val="0"/>
        <w:adjustRightInd w:val="0"/>
        <w:snapToGrid w:val="0"/>
        <w:spacing w:line="560" w:lineRule="exact"/>
        <w:ind w:left="0" w:leftChars="0" w:right="0" w:firstLine="640" w:firstLineChars="200"/>
        <w:rPr>
          <w:rFonts w:ascii="宋体" w:hAnsi="宋体" w:cs="宋体"/>
          <w:sz w:val="32"/>
          <w:szCs w:val="32"/>
        </w:rPr>
      </w:pPr>
      <w:r>
        <w:rPr>
          <w:rFonts w:hint="eastAsia" w:ascii="宋体" w:hAnsi="宋体" w:cs="宋体"/>
          <w:sz w:val="32"/>
          <w:szCs w:val="32"/>
        </w:rPr>
        <w:t>3、结算单位：由</w:t>
      </w:r>
      <w:r>
        <w:rPr>
          <w:rFonts w:hint="eastAsia" w:ascii="宋体" w:hAnsi="宋体" w:cs="宋体"/>
          <w:sz w:val="32"/>
          <w:szCs w:val="32"/>
          <w:lang w:val="zh-CN"/>
        </w:rPr>
        <w:t>西安曲江新区事业资产管理中心</w:t>
      </w:r>
      <w:r>
        <w:rPr>
          <w:rFonts w:hint="eastAsia" w:ascii="宋体" w:hAnsi="宋体" w:cs="宋体"/>
          <w:sz w:val="32"/>
          <w:szCs w:val="32"/>
        </w:rPr>
        <w:t>负责结算。</w:t>
      </w:r>
    </w:p>
    <w:p w14:paraId="6FCD541D">
      <w:pPr>
        <w:keepNext w:val="0"/>
        <w:keepLines w:val="0"/>
        <w:pageBreakBefore w:val="0"/>
        <w:kinsoku/>
        <w:wordWrap/>
        <w:overflowPunct/>
        <w:topLinePunct w:val="0"/>
        <w:bidi w:val="0"/>
        <w:adjustRightInd w:val="0"/>
        <w:snapToGrid w:val="0"/>
        <w:spacing w:line="560" w:lineRule="exact"/>
        <w:ind w:left="0" w:leftChars="0" w:right="0" w:firstLine="640" w:firstLineChars="200"/>
        <w:rPr>
          <w:rFonts w:ascii="宋体" w:hAnsi="宋体" w:cs="宋体"/>
          <w:sz w:val="32"/>
          <w:szCs w:val="32"/>
          <w:lang w:val="zh-CN"/>
        </w:rPr>
      </w:pPr>
      <w:r>
        <w:rPr>
          <w:rFonts w:hint="eastAsia" w:ascii="宋体" w:hAnsi="宋体" w:cs="宋体"/>
          <w:sz w:val="32"/>
          <w:szCs w:val="32"/>
        </w:rPr>
        <w:t>4、</w:t>
      </w:r>
      <w:r>
        <w:rPr>
          <w:rFonts w:hint="eastAsia" w:ascii="宋体" w:hAnsi="宋体" w:cs="宋体"/>
          <w:sz w:val="32"/>
          <w:szCs w:val="32"/>
          <w:lang w:val="zh-CN"/>
        </w:rPr>
        <w:t>如因乙方提供的发票存在问题造成甲方合法权益受到损害的，乙方应当及时采取补救措施，并赔偿甲方全部损失。</w:t>
      </w:r>
    </w:p>
    <w:p w14:paraId="5D389F02">
      <w:pPr>
        <w:keepNext w:val="0"/>
        <w:keepLines w:val="0"/>
        <w:pageBreakBefore w:val="0"/>
        <w:tabs>
          <w:tab w:val="left" w:pos="735"/>
        </w:tabs>
        <w:kinsoku/>
        <w:wordWrap/>
        <w:overflowPunct/>
        <w:topLinePunct w:val="0"/>
        <w:bidi w:val="0"/>
        <w:adjustRightInd w:val="0"/>
        <w:snapToGrid w:val="0"/>
        <w:spacing w:line="560" w:lineRule="exact"/>
        <w:ind w:left="0" w:leftChars="0" w:right="0" w:firstLine="643" w:firstLineChars="200"/>
        <w:rPr>
          <w:rFonts w:ascii="宋体" w:hAnsi="宋体" w:cs="宋体"/>
          <w:b/>
          <w:sz w:val="32"/>
          <w:szCs w:val="32"/>
        </w:rPr>
      </w:pPr>
      <w:r>
        <w:rPr>
          <w:rFonts w:hint="eastAsia" w:ascii="宋体" w:hAnsi="宋体" w:cs="宋体"/>
          <w:b/>
          <w:sz w:val="32"/>
          <w:szCs w:val="32"/>
        </w:rPr>
        <w:t>四、技术要求</w:t>
      </w:r>
    </w:p>
    <w:p w14:paraId="2B5290F0">
      <w:pPr>
        <w:keepNext w:val="0"/>
        <w:keepLines w:val="0"/>
        <w:pageBreakBefore w:val="0"/>
        <w:tabs>
          <w:tab w:val="left" w:pos="735"/>
        </w:tabs>
        <w:kinsoku/>
        <w:wordWrap/>
        <w:overflowPunct/>
        <w:topLinePunct w:val="0"/>
        <w:bidi w:val="0"/>
        <w:adjustRightInd w:val="0"/>
        <w:snapToGrid w:val="0"/>
        <w:spacing w:line="560" w:lineRule="exact"/>
        <w:ind w:left="0" w:leftChars="0" w:right="0" w:firstLine="480" w:firstLineChars="150"/>
        <w:rPr>
          <w:rFonts w:ascii="宋体" w:hAnsi="宋体" w:cs="宋体"/>
          <w:sz w:val="32"/>
          <w:szCs w:val="32"/>
        </w:rPr>
      </w:pPr>
      <w:r>
        <w:rPr>
          <w:rFonts w:hint="eastAsia" w:ascii="宋体" w:hAnsi="宋体" w:cs="宋体"/>
          <w:sz w:val="32"/>
          <w:szCs w:val="32"/>
        </w:rPr>
        <w:t>（一）监测类型</w:t>
      </w:r>
    </w:p>
    <w:p w14:paraId="59B65745">
      <w:pPr>
        <w:keepNext w:val="0"/>
        <w:keepLines w:val="0"/>
        <w:pageBreakBefore w:val="0"/>
        <w:tabs>
          <w:tab w:val="left" w:pos="735"/>
        </w:tabs>
        <w:kinsoku/>
        <w:wordWrap/>
        <w:overflowPunct/>
        <w:topLinePunct w:val="0"/>
        <w:bidi w:val="0"/>
        <w:adjustRightInd w:val="0"/>
        <w:snapToGrid w:val="0"/>
        <w:spacing w:line="560" w:lineRule="exact"/>
        <w:ind w:left="0" w:leftChars="0" w:right="0" w:firstLine="640" w:firstLineChars="200"/>
        <w:rPr>
          <w:rFonts w:ascii="宋体" w:hAnsi="宋体" w:cs="宋体"/>
          <w:sz w:val="32"/>
          <w:szCs w:val="32"/>
        </w:rPr>
      </w:pPr>
      <w:r>
        <w:rPr>
          <w:rFonts w:hint="eastAsia" w:ascii="宋体" w:hAnsi="宋体" w:cs="宋体"/>
          <w:sz w:val="32"/>
          <w:szCs w:val="32"/>
        </w:rPr>
        <w:t>区内企事业单位排放的废水、废气和噪声监测项目，地表水水质、土壤及地下水环境质量监测项目，环境应急监测项目，法律法规以及上级单位要求的其它类型监测项目等。</w:t>
      </w:r>
    </w:p>
    <w:p w14:paraId="4E65DAAD">
      <w:pPr>
        <w:keepNext w:val="0"/>
        <w:keepLines w:val="0"/>
        <w:pageBreakBefore w:val="0"/>
        <w:tabs>
          <w:tab w:val="left" w:pos="735"/>
        </w:tabs>
        <w:kinsoku/>
        <w:wordWrap/>
        <w:overflowPunct/>
        <w:topLinePunct w:val="0"/>
        <w:bidi w:val="0"/>
        <w:adjustRightInd w:val="0"/>
        <w:snapToGrid w:val="0"/>
        <w:spacing w:line="560" w:lineRule="exact"/>
        <w:ind w:left="0" w:leftChars="0" w:right="0" w:firstLine="480" w:firstLineChars="150"/>
        <w:rPr>
          <w:rFonts w:ascii="宋体" w:hAnsi="宋体" w:cs="宋体"/>
          <w:sz w:val="32"/>
          <w:szCs w:val="32"/>
        </w:rPr>
      </w:pPr>
      <w:r>
        <w:rPr>
          <w:rFonts w:hint="eastAsia" w:ascii="宋体" w:hAnsi="宋体" w:cs="宋体"/>
          <w:sz w:val="32"/>
          <w:szCs w:val="32"/>
        </w:rPr>
        <w:t>（二）工作程序</w:t>
      </w:r>
    </w:p>
    <w:p w14:paraId="47853A47">
      <w:pPr>
        <w:keepNext w:val="0"/>
        <w:keepLines w:val="0"/>
        <w:pageBreakBefore w:val="0"/>
        <w:kinsoku/>
        <w:wordWrap/>
        <w:overflowPunct/>
        <w:topLinePunct w:val="0"/>
        <w:bidi w:val="0"/>
        <w:adjustRightInd w:val="0"/>
        <w:snapToGrid w:val="0"/>
        <w:spacing w:line="560" w:lineRule="exact"/>
        <w:ind w:left="0" w:leftChars="0" w:right="0"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rPr>
        <w:t>1、</w:t>
      </w:r>
      <w:r>
        <w:rPr>
          <w:rFonts w:hint="eastAsia" w:ascii="宋体" w:hAnsi="宋体" w:eastAsia="宋体" w:cs="宋体"/>
          <w:sz w:val="32"/>
          <w:szCs w:val="32"/>
          <w:lang w:eastAsia="zh-CN"/>
        </w:rPr>
        <w:t>任务下达</w:t>
      </w:r>
      <w:r>
        <w:rPr>
          <w:rFonts w:hint="eastAsia" w:ascii="宋体" w:hAnsi="宋体" w:eastAsia="宋体" w:cs="宋体"/>
          <w:sz w:val="32"/>
          <w:szCs w:val="32"/>
        </w:rPr>
        <w:t>。每次监测前，由</w:t>
      </w:r>
      <w:r>
        <w:rPr>
          <w:rFonts w:hint="eastAsia" w:ascii="宋体" w:hAnsi="宋体" w:eastAsia="宋体" w:cs="宋体"/>
          <w:sz w:val="32"/>
          <w:szCs w:val="32"/>
          <w:lang w:eastAsia="zh-CN"/>
        </w:rPr>
        <w:t>甲方</w:t>
      </w:r>
      <w:r>
        <w:rPr>
          <w:rFonts w:hint="eastAsia" w:ascii="宋体" w:hAnsi="宋体" w:eastAsia="宋体" w:cs="宋体"/>
          <w:sz w:val="32"/>
          <w:szCs w:val="32"/>
        </w:rPr>
        <w:t>下达监测项目计划和完成时限等要求，由乙方按照工作要求，拟定符合国家标准及技术规范的具体监测方案，方案内容包括但不限于：监测目的和项目任务、监测因子、标准限值（无标准限值时，乙方应提出参考性限值或者建议性限值）、场地环境基本状况、技术路线和具体工作程序安排、应执行的法规政策和技</w:t>
      </w:r>
      <w:r>
        <w:rPr>
          <w:rFonts w:hint="eastAsia" w:ascii="宋体" w:hAnsi="宋体" w:eastAsia="宋体" w:cs="宋体"/>
          <w:sz w:val="32"/>
          <w:szCs w:val="32"/>
          <w:lang w:val="en-US" w:eastAsia="zh-CN"/>
        </w:rPr>
        <w:t>术标准依据、质量保证与质量控制等。</w:t>
      </w:r>
    </w:p>
    <w:p w14:paraId="0424B911">
      <w:pPr>
        <w:keepNext w:val="0"/>
        <w:keepLines w:val="0"/>
        <w:pageBreakBefore w:val="0"/>
        <w:tabs>
          <w:tab w:val="left" w:pos="735"/>
        </w:tabs>
        <w:kinsoku/>
        <w:wordWrap/>
        <w:overflowPunct/>
        <w:topLinePunct w:val="0"/>
        <w:bidi w:val="0"/>
        <w:adjustRightInd w:val="0"/>
        <w:snapToGrid w:val="0"/>
        <w:spacing w:line="560" w:lineRule="exact"/>
        <w:ind w:left="0" w:leftChars="0" w:right="0"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甲方提出监测需求后，乙方应积极响应并安排监测工作。在一个季度内，若乙方累积出现3次及以上无法满足甲方监测需求的情况（因不可抗力或甲方原因导致无法监测的除外），则本季度甲方实际支付给乙方的金额按应支付金额的 80%进行支付。乙方应在每个季度结束后 5 个工作日内，向甲方提供本季度未能满足监测需求的详细情况说明，包括需求提出时间、无法监测原因等，以便甲方核实。</w:t>
      </w:r>
    </w:p>
    <w:p w14:paraId="2D0B53A5">
      <w:pPr>
        <w:keepNext w:val="0"/>
        <w:keepLines w:val="0"/>
        <w:pageBreakBefore w:val="0"/>
        <w:tabs>
          <w:tab w:val="left" w:pos="735"/>
        </w:tabs>
        <w:kinsoku/>
        <w:wordWrap/>
        <w:overflowPunct/>
        <w:topLinePunct w:val="0"/>
        <w:bidi w:val="0"/>
        <w:adjustRightInd w:val="0"/>
        <w:snapToGrid w:val="0"/>
        <w:spacing w:line="560" w:lineRule="exact"/>
        <w:ind w:left="0" w:leftChars="0" w:right="0"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方案确认。每次开展监测前，乙方必须向甲方确认当次监测方案，通过确认后方可开展监测工作。甲方只对监测方案的形式完整性进行审核确认，不对方案内容负责。乙方对监测方案的合法性、安全性、科学性、规范性、内容完整性、质量控制等方案内容负责。</w:t>
      </w:r>
    </w:p>
    <w:p w14:paraId="6143E6DA">
      <w:pPr>
        <w:keepNext w:val="0"/>
        <w:keepLines w:val="0"/>
        <w:pageBreakBefore w:val="0"/>
        <w:tabs>
          <w:tab w:val="left" w:pos="735"/>
        </w:tabs>
        <w:kinsoku/>
        <w:wordWrap/>
        <w:overflowPunct/>
        <w:topLinePunct w:val="0"/>
        <w:bidi w:val="0"/>
        <w:adjustRightInd w:val="0"/>
        <w:snapToGrid w:val="0"/>
        <w:spacing w:line="560" w:lineRule="exact"/>
        <w:ind w:left="0" w:leftChars="0" w:right="0"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3、监测的组织实施。乙方在取得甲方对监测方案的确认后， 1 小时内安排专业监测人员携带必要设备到达监测现场开展工作。若甲方明确告知监测情况紧急，乙方需在接到通知后的半小时内到达现场。如因不可抗力（如自然灾害、交通瘫痪等无法预见、无法避免且无法克服的客观情况）导致无法按时到达，乙方应及时通知甲方并说明预计到达时间，同时提供相关证明材料。</w:t>
      </w:r>
    </w:p>
    <w:p w14:paraId="1262615C">
      <w:pPr>
        <w:keepNext w:val="0"/>
        <w:keepLines w:val="0"/>
        <w:pageBreakBefore w:val="0"/>
        <w:tabs>
          <w:tab w:val="left" w:pos="735"/>
        </w:tabs>
        <w:kinsoku/>
        <w:wordWrap/>
        <w:overflowPunct/>
        <w:topLinePunct w:val="0"/>
        <w:bidi w:val="0"/>
        <w:adjustRightInd w:val="0"/>
        <w:snapToGrid w:val="0"/>
        <w:spacing w:line="560" w:lineRule="exact"/>
        <w:ind w:left="0" w:leftChars="0" w:right="0"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4、监测成果的形式和运用。每个监测项目的关键性监测数据、监测方法、法律法规及相关政策依据、标准限值（或参考性标准）、检出限、监测因子种类、监测结论或结果评价等成果必须以书面监测报告形式出具。乙方对监测报告的合法性、规范性、科学性、完整性、时效性负责。乙方应在自采样开始后的 5 个工作日内出具正式的监测报告。报告内容应完整、准确、清晰，包括监测项目、监测方法、监测结果、结论与建议等。（遇特殊情况或特殊项目监测，无法按时出具《监测报告》需及时报告甲方同意）。如遇特殊情况（如甲方临时要求加急、监测项目复杂等），乙方应积极配合甲方加急出具报告。加急报告的出具时间由双方另行协商确定，但乙方应尽最大努力确保在最短时间内完成。</w:t>
      </w:r>
    </w:p>
    <w:p w14:paraId="2BA8DF32">
      <w:pPr>
        <w:keepNext w:val="0"/>
        <w:keepLines w:val="0"/>
        <w:pageBreakBefore w:val="0"/>
        <w:numPr>
          <w:ilvl w:val="0"/>
          <w:numId w:val="0"/>
        </w:numPr>
        <w:tabs>
          <w:tab w:val="left" w:pos="735"/>
        </w:tabs>
        <w:kinsoku/>
        <w:wordWrap/>
        <w:overflowPunct/>
        <w:topLinePunct w:val="0"/>
        <w:bidi w:val="0"/>
        <w:adjustRightInd w:val="0"/>
        <w:snapToGrid w:val="0"/>
        <w:spacing w:line="560" w:lineRule="exact"/>
        <w:ind w:right="0" w:rightChars="0" w:firstLine="640" w:firstLineChars="200"/>
        <w:rPr>
          <w:rFonts w:hint="eastAsia" w:ascii="宋体" w:hAnsi="宋体" w:eastAsia="宋体" w:cs="宋体"/>
          <w:sz w:val="32"/>
          <w:szCs w:val="32"/>
        </w:rPr>
      </w:pPr>
      <w:r>
        <w:rPr>
          <w:rFonts w:hint="eastAsia" w:ascii="宋体" w:hAnsi="宋体" w:cs="宋体"/>
          <w:sz w:val="32"/>
          <w:szCs w:val="32"/>
          <w:lang w:val="en-US" w:eastAsia="zh-CN"/>
        </w:rPr>
        <w:t>5、</w:t>
      </w:r>
      <w:r>
        <w:rPr>
          <w:rFonts w:hint="eastAsia" w:ascii="宋体" w:hAnsi="宋体" w:cs="宋体"/>
          <w:sz w:val="32"/>
          <w:szCs w:val="32"/>
        </w:rPr>
        <w:t>工作整改。原则上，本合同约定的各监测项目必须在合法合规基础上开展监测并及时送达正式有效的监测报告。如因工作疏忽、质量控制等主观人为因素造成最终检测结果或评价失当的，相应的法律责任和整改责任、整改费用全部由乙方承担。如因乙方未于事先对采样地周边环境、各类客观因素进行充分估计和考虑而造成监测成果失当或其它安全事故的，相应的法律责任和整改责任、整改费用全部</w:t>
      </w:r>
      <w:r>
        <w:rPr>
          <w:rFonts w:hint="eastAsia" w:ascii="宋体" w:hAnsi="宋体" w:eastAsia="宋体" w:cs="宋体"/>
          <w:sz w:val="32"/>
          <w:szCs w:val="32"/>
        </w:rPr>
        <w:t>由乙方承担。</w:t>
      </w:r>
    </w:p>
    <w:p w14:paraId="05F3F4BA">
      <w:pPr>
        <w:keepNext w:val="0"/>
        <w:keepLines w:val="0"/>
        <w:pageBreakBefore w:val="0"/>
        <w:numPr>
          <w:ilvl w:val="0"/>
          <w:numId w:val="0"/>
        </w:numPr>
        <w:tabs>
          <w:tab w:val="left" w:pos="735"/>
        </w:tabs>
        <w:kinsoku/>
        <w:wordWrap/>
        <w:overflowPunct/>
        <w:topLinePunct w:val="0"/>
        <w:bidi w:val="0"/>
        <w:adjustRightInd w:val="0"/>
        <w:snapToGrid w:val="0"/>
        <w:spacing w:line="560" w:lineRule="exact"/>
        <w:ind w:right="0" w:rightChars="0" w:firstLine="640" w:firstLineChars="200"/>
        <w:rPr>
          <w:rFonts w:hint="eastAsia" w:ascii="宋体" w:hAnsi="宋体" w:eastAsia="宋体" w:cs="宋体"/>
          <w:sz w:val="32"/>
          <w:szCs w:val="32"/>
        </w:rPr>
      </w:pPr>
      <w:r>
        <w:rPr>
          <w:rFonts w:hint="eastAsia" w:ascii="宋体" w:hAnsi="宋体" w:eastAsia="宋体" w:cs="宋体"/>
          <w:sz w:val="32"/>
          <w:szCs w:val="32"/>
        </w:rPr>
        <w:t>若乙方交付的成果经甲方审核连续 3 次不能通过，甲方有权解除本合同。自甲方审核不通过成果第一次交付之日起至解除合同之日止，乙方应按 1200 元人民币/日的标准向甲方承担违约责任。乙方在收到甲方关于成果未通过审核的通知后，应在 24 小时内启动有效补救措施，并在3个工作日内重新提交修改后的成果供甲方审核。如重新提交的成果仍未通过审核，则视为又一次未通过审核。</w:t>
      </w:r>
    </w:p>
    <w:p w14:paraId="3DDB1651">
      <w:pPr>
        <w:keepNext w:val="0"/>
        <w:keepLines w:val="0"/>
        <w:pageBreakBefore w:val="0"/>
        <w:numPr>
          <w:ilvl w:val="0"/>
          <w:numId w:val="0"/>
        </w:numPr>
        <w:tabs>
          <w:tab w:val="left" w:pos="735"/>
        </w:tabs>
        <w:kinsoku/>
        <w:wordWrap/>
        <w:overflowPunct/>
        <w:topLinePunct w:val="0"/>
        <w:bidi w:val="0"/>
        <w:adjustRightInd w:val="0"/>
        <w:snapToGrid w:val="0"/>
        <w:spacing w:line="560" w:lineRule="exact"/>
        <w:ind w:right="0" w:rightChars="0" w:firstLine="640" w:firstLineChars="200"/>
        <w:rPr>
          <w:rFonts w:ascii="宋体" w:hAnsi="宋体" w:cs="宋体"/>
          <w:sz w:val="32"/>
          <w:szCs w:val="32"/>
        </w:rPr>
      </w:pPr>
      <w:r>
        <w:rPr>
          <w:rFonts w:hint="eastAsia" w:ascii="宋体" w:hAnsi="宋体" w:cs="宋体"/>
          <w:sz w:val="32"/>
          <w:szCs w:val="32"/>
          <w:lang w:val="en-US" w:eastAsia="zh-CN"/>
        </w:rPr>
        <w:t>6、</w:t>
      </w:r>
      <w:r>
        <w:rPr>
          <w:rFonts w:hint="eastAsia" w:ascii="宋体" w:hAnsi="宋体" w:cs="宋体"/>
          <w:sz w:val="32"/>
          <w:szCs w:val="32"/>
        </w:rPr>
        <w:t>安全保障。乙方配备的人员必须取得从业资格和岗位证书，且具备熟练操作和应对紧急情况的反应、处置能力。乙方应提前询问、熟悉当次监测项目的基本情况、现场及周边各类情况和注意事项等，合理制定监测方案，合理组织实施监测工作，并负责对其公司采样人员在开展工作前进行安全和技术交底。乙方自行承担工作开展中的安全生产责任，对其工作人员的人身安全自行负责，监测工作开始直至结束的全过程中，乙方都应采取措施以保证其人员和设备仪器、及财产安全性，因各类原因导致的人身、财产损害责任均由乙方自行承担。</w:t>
      </w:r>
    </w:p>
    <w:p w14:paraId="5582DF34">
      <w:pPr>
        <w:keepNext w:val="0"/>
        <w:keepLines w:val="0"/>
        <w:pageBreakBefore w:val="0"/>
        <w:kinsoku/>
        <w:wordWrap/>
        <w:overflowPunct/>
        <w:topLinePunct w:val="0"/>
        <w:bidi w:val="0"/>
        <w:adjustRightInd w:val="0"/>
        <w:snapToGrid w:val="0"/>
        <w:spacing w:line="560" w:lineRule="exact"/>
        <w:ind w:left="0" w:leftChars="0" w:right="0" w:firstLine="640" w:firstLineChars="200"/>
        <w:rPr>
          <w:rFonts w:ascii="宋体" w:hAnsi="宋体" w:cs="宋体"/>
          <w:sz w:val="32"/>
          <w:szCs w:val="32"/>
        </w:rPr>
      </w:pPr>
      <w:r>
        <w:rPr>
          <w:rFonts w:hint="eastAsia" w:ascii="宋体" w:hAnsi="宋体" w:cs="宋体"/>
          <w:sz w:val="32"/>
          <w:szCs w:val="32"/>
        </w:rPr>
        <w:t>（三）监测计划</w:t>
      </w:r>
    </w:p>
    <w:p w14:paraId="59141C1B">
      <w:pPr>
        <w:keepNext w:val="0"/>
        <w:keepLines w:val="0"/>
        <w:pageBreakBefore w:val="0"/>
        <w:kinsoku/>
        <w:wordWrap/>
        <w:overflowPunct/>
        <w:topLinePunct w:val="0"/>
        <w:bidi w:val="0"/>
        <w:spacing w:line="560" w:lineRule="exact"/>
        <w:ind w:left="0" w:leftChars="0" w:right="0" w:firstLine="640" w:firstLineChars="200"/>
        <w:rPr>
          <w:rFonts w:ascii="宋体" w:hAnsi="宋体" w:cs="宋体"/>
          <w:sz w:val="32"/>
          <w:szCs w:val="32"/>
        </w:rPr>
      </w:pPr>
      <w:r>
        <w:rPr>
          <w:rFonts w:hint="eastAsia" w:ascii="宋体" w:hAnsi="宋体" w:cs="宋体"/>
          <w:sz w:val="32"/>
          <w:szCs w:val="32"/>
        </w:rPr>
        <w:t>1、根据环境监测相关法律法规及省、市、区相关工作要求及业务安排，曲江新区生态环境监督性监测计划如下表。</w:t>
      </w:r>
    </w:p>
    <w:p w14:paraId="16B1BFE1">
      <w:pPr>
        <w:keepNext w:val="0"/>
        <w:keepLines w:val="0"/>
        <w:pageBreakBefore w:val="0"/>
        <w:kinsoku/>
        <w:wordWrap/>
        <w:overflowPunct/>
        <w:topLinePunct w:val="0"/>
        <w:bidi w:val="0"/>
        <w:spacing w:line="560" w:lineRule="exact"/>
        <w:ind w:left="0" w:leftChars="0" w:right="0" w:firstLine="640" w:firstLineChars="200"/>
        <w:jc w:val="center"/>
        <w:rPr>
          <w:rFonts w:hint="eastAsia" w:ascii="宋体" w:hAnsi="宋体" w:cs="宋体"/>
          <w:sz w:val="32"/>
          <w:szCs w:val="32"/>
        </w:rPr>
      </w:pPr>
      <w:r>
        <w:rPr>
          <w:rFonts w:hint="eastAsia" w:ascii="宋体" w:hAnsi="宋体" w:cs="宋体"/>
          <w:sz w:val="32"/>
          <w:szCs w:val="32"/>
        </w:rPr>
        <w:t>曲江新区监督性监测实施计划表</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1164"/>
        <w:gridCol w:w="1425"/>
        <w:gridCol w:w="2991"/>
        <w:gridCol w:w="2226"/>
      </w:tblGrid>
      <w:tr w14:paraId="4E94E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jc w:val="center"/>
        </w:trPr>
        <w:tc>
          <w:tcPr>
            <w:tcW w:w="420" w:type="pct"/>
            <w:noWrap w:val="0"/>
            <w:vAlign w:val="center"/>
          </w:tcPr>
          <w:p w14:paraId="6216574B">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b/>
                <w:bCs/>
                <w:sz w:val="24"/>
              </w:rPr>
            </w:pPr>
            <w:r>
              <w:rPr>
                <w:rFonts w:ascii="Times New Roman" w:hAnsi="Times New Roman"/>
                <w:b/>
                <w:bCs/>
                <w:sz w:val="24"/>
              </w:rPr>
              <w:t>序号</w:t>
            </w:r>
          </w:p>
        </w:tc>
        <w:tc>
          <w:tcPr>
            <w:tcW w:w="683" w:type="pct"/>
            <w:noWrap w:val="0"/>
            <w:vAlign w:val="center"/>
          </w:tcPr>
          <w:p w14:paraId="44B8AB98">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b/>
                <w:bCs/>
                <w:sz w:val="24"/>
              </w:rPr>
            </w:pPr>
            <w:r>
              <w:rPr>
                <w:rFonts w:ascii="Times New Roman" w:hAnsi="Times New Roman"/>
                <w:b/>
                <w:bCs/>
                <w:sz w:val="24"/>
              </w:rPr>
              <w:t>类别</w:t>
            </w:r>
          </w:p>
        </w:tc>
        <w:tc>
          <w:tcPr>
            <w:tcW w:w="835" w:type="pct"/>
            <w:noWrap w:val="0"/>
            <w:vAlign w:val="center"/>
          </w:tcPr>
          <w:p w14:paraId="410B3771">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b/>
                <w:bCs/>
                <w:sz w:val="24"/>
              </w:rPr>
            </w:pPr>
            <w:r>
              <w:rPr>
                <w:rFonts w:ascii="Times New Roman" w:hAnsi="Times New Roman"/>
                <w:b/>
                <w:bCs/>
                <w:sz w:val="24"/>
              </w:rPr>
              <w:t>监测项目</w:t>
            </w:r>
          </w:p>
        </w:tc>
        <w:tc>
          <w:tcPr>
            <w:tcW w:w="1755" w:type="pct"/>
            <w:noWrap w:val="0"/>
            <w:vAlign w:val="center"/>
          </w:tcPr>
          <w:p w14:paraId="73719CA8">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b/>
                <w:bCs/>
                <w:sz w:val="24"/>
              </w:rPr>
            </w:pPr>
            <w:r>
              <w:rPr>
                <w:rFonts w:ascii="Times New Roman" w:hAnsi="Times New Roman"/>
                <w:b/>
                <w:bCs/>
                <w:sz w:val="24"/>
              </w:rPr>
              <w:t>监测因子</w:t>
            </w:r>
          </w:p>
        </w:tc>
        <w:tc>
          <w:tcPr>
            <w:tcW w:w="1306" w:type="pct"/>
            <w:noWrap w:val="0"/>
            <w:vAlign w:val="center"/>
          </w:tcPr>
          <w:p w14:paraId="04E7EEF9">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b/>
                <w:bCs/>
                <w:sz w:val="24"/>
              </w:rPr>
            </w:pPr>
            <w:r>
              <w:rPr>
                <w:rFonts w:ascii="Times New Roman" w:hAnsi="Times New Roman"/>
                <w:b/>
                <w:bCs/>
                <w:sz w:val="24"/>
              </w:rPr>
              <w:t>单价</w:t>
            </w:r>
          </w:p>
        </w:tc>
      </w:tr>
      <w:tr w14:paraId="725A9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exact"/>
          <w:jc w:val="center"/>
        </w:trPr>
        <w:tc>
          <w:tcPr>
            <w:tcW w:w="420" w:type="pct"/>
            <w:noWrap w:val="0"/>
            <w:vAlign w:val="center"/>
          </w:tcPr>
          <w:p w14:paraId="4713DD8C">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1</w:t>
            </w:r>
          </w:p>
        </w:tc>
        <w:tc>
          <w:tcPr>
            <w:tcW w:w="1519" w:type="pct"/>
            <w:gridSpan w:val="2"/>
            <w:noWrap w:val="0"/>
            <w:vAlign w:val="center"/>
          </w:tcPr>
          <w:p w14:paraId="3DDDE26B">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kern w:val="0"/>
                <w:sz w:val="24"/>
              </w:rPr>
              <w:t>噪声监测</w:t>
            </w:r>
          </w:p>
        </w:tc>
        <w:tc>
          <w:tcPr>
            <w:tcW w:w="1755" w:type="pct"/>
            <w:noWrap w:val="0"/>
            <w:vAlign w:val="center"/>
          </w:tcPr>
          <w:p w14:paraId="5C71E882">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kern w:val="0"/>
                <w:sz w:val="24"/>
              </w:rPr>
            </w:pPr>
            <w:r>
              <w:rPr>
                <w:rFonts w:ascii="Times New Roman" w:hAnsi="Times New Roman"/>
                <w:kern w:val="0"/>
                <w:sz w:val="24"/>
              </w:rPr>
              <w:t>环境噪声、交通噪声、社会生活噪声、 厂界噪声、建筑工地场界噪声</w:t>
            </w:r>
          </w:p>
        </w:tc>
        <w:tc>
          <w:tcPr>
            <w:tcW w:w="1306" w:type="pct"/>
            <w:noWrap w:val="0"/>
            <w:vAlign w:val="center"/>
          </w:tcPr>
          <w:p w14:paraId="27C45CFE">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hint="eastAsia" w:ascii="Times New Roman" w:hAnsi="Times New Roman"/>
                <w:sz w:val="24"/>
              </w:rPr>
              <w:t>300</w:t>
            </w:r>
            <w:r>
              <w:rPr>
                <w:rFonts w:ascii="Times New Roman" w:hAnsi="Times New Roman"/>
                <w:sz w:val="24"/>
              </w:rPr>
              <w:t>元/点</w:t>
            </w:r>
          </w:p>
        </w:tc>
      </w:tr>
      <w:tr w14:paraId="6CDAA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restart"/>
            <w:noWrap w:val="0"/>
            <w:vAlign w:val="center"/>
          </w:tcPr>
          <w:p w14:paraId="243DEC4D">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2</w:t>
            </w:r>
          </w:p>
        </w:tc>
        <w:tc>
          <w:tcPr>
            <w:tcW w:w="683" w:type="pct"/>
            <w:vMerge w:val="restart"/>
            <w:noWrap w:val="0"/>
            <w:vAlign w:val="center"/>
          </w:tcPr>
          <w:p w14:paraId="4107175E">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河湖水质监测</w:t>
            </w:r>
          </w:p>
        </w:tc>
        <w:tc>
          <w:tcPr>
            <w:tcW w:w="835" w:type="pct"/>
            <w:vMerge w:val="restart"/>
            <w:noWrap w:val="0"/>
            <w:vAlign w:val="center"/>
          </w:tcPr>
          <w:p w14:paraId="156B0704">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芙蓉湖</w:t>
            </w:r>
          </w:p>
          <w:p w14:paraId="5FDCCEA5">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太液池</w:t>
            </w:r>
          </w:p>
          <w:p w14:paraId="088127BA">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兴庆湖等</w:t>
            </w:r>
          </w:p>
        </w:tc>
        <w:tc>
          <w:tcPr>
            <w:tcW w:w="1755" w:type="pct"/>
            <w:noWrap w:val="0"/>
            <w:vAlign w:val="center"/>
          </w:tcPr>
          <w:p w14:paraId="13CA00F1">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化学需氧量</w:t>
            </w:r>
          </w:p>
        </w:tc>
        <w:tc>
          <w:tcPr>
            <w:tcW w:w="1306" w:type="pct"/>
            <w:vMerge w:val="restart"/>
            <w:noWrap w:val="0"/>
            <w:vAlign w:val="center"/>
          </w:tcPr>
          <w:p w14:paraId="0BEBA34C">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hint="eastAsia" w:ascii="Times New Roman" w:hAnsi="Times New Roman"/>
                <w:sz w:val="24"/>
              </w:rPr>
              <w:t>700</w:t>
            </w:r>
            <w:r>
              <w:rPr>
                <w:rFonts w:ascii="Times New Roman" w:hAnsi="Times New Roman"/>
                <w:sz w:val="24"/>
              </w:rPr>
              <w:t>元/排放口·次</w:t>
            </w:r>
          </w:p>
        </w:tc>
      </w:tr>
      <w:tr w14:paraId="6EB47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254D9941">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3EB1099D">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193315E8">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3557DA0C">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氨氮</w:t>
            </w:r>
          </w:p>
        </w:tc>
        <w:tc>
          <w:tcPr>
            <w:tcW w:w="1306" w:type="pct"/>
            <w:vMerge w:val="continue"/>
            <w:noWrap w:val="0"/>
            <w:vAlign w:val="center"/>
          </w:tcPr>
          <w:p w14:paraId="5A7D32EB">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304B8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2767ADB4">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51235A8E">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71B89A55">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5BD7831E">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总磷</w:t>
            </w:r>
          </w:p>
        </w:tc>
        <w:tc>
          <w:tcPr>
            <w:tcW w:w="1306" w:type="pct"/>
            <w:vMerge w:val="continue"/>
            <w:noWrap w:val="0"/>
            <w:vAlign w:val="center"/>
          </w:tcPr>
          <w:p w14:paraId="5502B3A2">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71364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486D5AC0">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247F43C9">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1B2C1FDA">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29B464A0">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溶解氧</w:t>
            </w:r>
          </w:p>
        </w:tc>
        <w:tc>
          <w:tcPr>
            <w:tcW w:w="1306" w:type="pct"/>
            <w:vMerge w:val="continue"/>
            <w:noWrap w:val="0"/>
            <w:vAlign w:val="center"/>
          </w:tcPr>
          <w:p w14:paraId="70FF71E5">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19E81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0B7627D4">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5326DA4A">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53E0F53D">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34CB5174">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透明度</w:t>
            </w:r>
          </w:p>
        </w:tc>
        <w:tc>
          <w:tcPr>
            <w:tcW w:w="1306" w:type="pct"/>
            <w:vMerge w:val="continue"/>
            <w:noWrap w:val="0"/>
            <w:vAlign w:val="center"/>
          </w:tcPr>
          <w:p w14:paraId="6ED06349">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3DD91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280272C4">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49A42E0C">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681C8D94">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2B4CE5F7">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氧化还原电位</w:t>
            </w:r>
          </w:p>
        </w:tc>
        <w:tc>
          <w:tcPr>
            <w:tcW w:w="1306" w:type="pct"/>
            <w:vMerge w:val="continue"/>
            <w:noWrap w:val="0"/>
            <w:vAlign w:val="center"/>
          </w:tcPr>
          <w:p w14:paraId="6C874CE6">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33691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restart"/>
            <w:noWrap w:val="0"/>
            <w:vAlign w:val="center"/>
          </w:tcPr>
          <w:p w14:paraId="1798F577">
            <w:pPr>
              <w:keepNext w:val="0"/>
              <w:keepLines w:val="0"/>
              <w:pageBreakBefore w:val="0"/>
              <w:kinsoku/>
              <w:wordWrap/>
              <w:overflowPunct/>
              <w:topLinePunct w:val="0"/>
              <w:bidi w:val="0"/>
              <w:adjustRightInd w:val="0"/>
              <w:snapToGrid w:val="0"/>
              <w:spacing w:line="560" w:lineRule="exact"/>
              <w:ind w:left="0" w:leftChars="0" w:right="0"/>
              <w:jc w:val="center"/>
              <w:rPr>
                <w:rFonts w:hint="eastAsia" w:ascii="Times New Roman" w:hAnsi="Times New Roman"/>
                <w:sz w:val="24"/>
              </w:rPr>
            </w:pPr>
          </w:p>
          <w:p w14:paraId="732B6D9B">
            <w:pPr>
              <w:keepNext w:val="0"/>
              <w:keepLines w:val="0"/>
              <w:pageBreakBefore w:val="0"/>
              <w:kinsoku/>
              <w:wordWrap/>
              <w:overflowPunct/>
              <w:topLinePunct w:val="0"/>
              <w:bidi w:val="0"/>
              <w:adjustRightInd w:val="0"/>
              <w:snapToGrid w:val="0"/>
              <w:spacing w:line="560" w:lineRule="exact"/>
              <w:ind w:left="0" w:leftChars="0" w:right="0"/>
              <w:jc w:val="center"/>
              <w:rPr>
                <w:rFonts w:hint="eastAsia" w:ascii="Times New Roman" w:hAnsi="Times New Roman"/>
                <w:sz w:val="24"/>
              </w:rPr>
            </w:pPr>
          </w:p>
          <w:p w14:paraId="12E2E8D5">
            <w:pPr>
              <w:keepNext w:val="0"/>
              <w:keepLines w:val="0"/>
              <w:pageBreakBefore w:val="0"/>
              <w:kinsoku/>
              <w:wordWrap/>
              <w:overflowPunct/>
              <w:topLinePunct w:val="0"/>
              <w:bidi w:val="0"/>
              <w:adjustRightInd w:val="0"/>
              <w:snapToGrid w:val="0"/>
              <w:spacing w:line="560" w:lineRule="exact"/>
              <w:ind w:left="0" w:leftChars="0" w:right="0"/>
              <w:jc w:val="center"/>
              <w:rPr>
                <w:rFonts w:hint="eastAsia" w:ascii="Times New Roman" w:hAnsi="Times New Roman"/>
                <w:sz w:val="24"/>
              </w:rPr>
            </w:pPr>
          </w:p>
          <w:p w14:paraId="35368C24">
            <w:pPr>
              <w:keepNext w:val="0"/>
              <w:keepLines w:val="0"/>
              <w:pageBreakBefore w:val="0"/>
              <w:kinsoku/>
              <w:wordWrap/>
              <w:overflowPunct/>
              <w:topLinePunct w:val="0"/>
              <w:bidi w:val="0"/>
              <w:adjustRightInd w:val="0"/>
              <w:snapToGrid w:val="0"/>
              <w:spacing w:line="560" w:lineRule="exact"/>
              <w:ind w:left="0" w:leftChars="0" w:right="0"/>
              <w:jc w:val="center"/>
              <w:rPr>
                <w:rFonts w:hint="eastAsia" w:ascii="Times New Roman" w:hAnsi="Times New Roman"/>
                <w:sz w:val="24"/>
              </w:rPr>
            </w:pPr>
          </w:p>
          <w:p w14:paraId="4E790D6B">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3</w:t>
            </w:r>
          </w:p>
        </w:tc>
        <w:tc>
          <w:tcPr>
            <w:tcW w:w="683" w:type="pct"/>
            <w:vMerge w:val="restart"/>
            <w:noWrap w:val="0"/>
            <w:vAlign w:val="center"/>
          </w:tcPr>
          <w:p w14:paraId="61BD7EF6">
            <w:pPr>
              <w:keepNext w:val="0"/>
              <w:keepLines w:val="0"/>
              <w:pageBreakBefore w:val="0"/>
              <w:kinsoku/>
              <w:wordWrap/>
              <w:overflowPunct/>
              <w:topLinePunct w:val="0"/>
              <w:bidi w:val="0"/>
              <w:adjustRightInd w:val="0"/>
              <w:snapToGrid w:val="0"/>
              <w:spacing w:line="560" w:lineRule="exact"/>
              <w:ind w:left="0" w:leftChars="0" w:right="0"/>
              <w:jc w:val="center"/>
              <w:rPr>
                <w:rFonts w:hint="eastAsia" w:ascii="Times New Roman" w:hAnsi="Times New Roman"/>
                <w:sz w:val="24"/>
              </w:rPr>
            </w:pPr>
          </w:p>
          <w:p w14:paraId="40C97F39">
            <w:pPr>
              <w:keepNext w:val="0"/>
              <w:keepLines w:val="0"/>
              <w:pageBreakBefore w:val="0"/>
              <w:kinsoku/>
              <w:wordWrap/>
              <w:overflowPunct/>
              <w:topLinePunct w:val="0"/>
              <w:bidi w:val="0"/>
              <w:adjustRightInd w:val="0"/>
              <w:snapToGrid w:val="0"/>
              <w:spacing w:line="560" w:lineRule="exact"/>
              <w:ind w:left="0" w:leftChars="0" w:right="0"/>
              <w:jc w:val="center"/>
              <w:rPr>
                <w:rFonts w:hint="eastAsia" w:ascii="Times New Roman" w:hAnsi="Times New Roman"/>
                <w:sz w:val="24"/>
              </w:rPr>
            </w:pPr>
          </w:p>
          <w:p w14:paraId="544BDD5F">
            <w:pPr>
              <w:keepNext w:val="0"/>
              <w:keepLines w:val="0"/>
              <w:pageBreakBefore w:val="0"/>
              <w:kinsoku/>
              <w:wordWrap/>
              <w:overflowPunct/>
              <w:topLinePunct w:val="0"/>
              <w:bidi w:val="0"/>
              <w:adjustRightInd w:val="0"/>
              <w:snapToGrid w:val="0"/>
              <w:spacing w:line="560" w:lineRule="exact"/>
              <w:ind w:left="0" w:leftChars="0" w:right="0"/>
              <w:jc w:val="center"/>
              <w:rPr>
                <w:rFonts w:hint="eastAsia" w:ascii="Times New Roman" w:hAnsi="Times New Roman"/>
                <w:sz w:val="24"/>
              </w:rPr>
            </w:pPr>
          </w:p>
          <w:p w14:paraId="0657BDBC">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河湖水质监测（加密监测）</w:t>
            </w:r>
          </w:p>
        </w:tc>
        <w:tc>
          <w:tcPr>
            <w:tcW w:w="835" w:type="pct"/>
            <w:vMerge w:val="restart"/>
            <w:noWrap w:val="0"/>
            <w:vAlign w:val="center"/>
          </w:tcPr>
          <w:p w14:paraId="2CCF1626">
            <w:pPr>
              <w:keepNext w:val="0"/>
              <w:keepLines w:val="0"/>
              <w:pageBreakBefore w:val="0"/>
              <w:kinsoku/>
              <w:wordWrap/>
              <w:overflowPunct/>
              <w:topLinePunct w:val="0"/>
              <w:bidi w:val="0"/>
              <w:adjustRightInd w:val="0"/>
              <w:snapToGrid w:val="0"/>
              <w:spacing w:line="560" w:lineRule="exact"/>
              <w:ind w:left="0" w:leftChars="0" w:right="0"/>
              <w:jc w:val="center"/>
              <w:rPr>
                <w:rFonts w:hint="eastAsia" w:ascii="Times New Roman" w:hAnsi="Times New Roman"/>
                <w:sz w:val="24"/>
              </w:rPr>
            </w:pPr>
          </w:p>
          <w:p w14:paraId="5F6CF313">
            <w:pPr>
              <w:keepNext w:val="0"/>
              <w:keepLines w:val="0"/>
              <w:pageBreakBefore w:val="0"/>
              <w:kinsoku/>
              <w:wordWrap/>
              <w:overflowPunct/>
              <w:topLinePunct w:val="0"/>
              <w:bidi w:val="0"/>
              <w:adjustRightInd w:val="0"/>
              <w:snapToGrid w:val="0"/>
              <w:spacing w:line="560" w:lineRule="exact"/>
              <w:ind w:left="0" w:leftChars="0" w:right="0"/>
              <w:jc w:val="center"/>
              <w:rPr>
                <w:rFonts w:hint="eastAsia" w:ascii="Times New Roman" w:hAnsi="Times New Roman"/>
                <w:sz w:val="24"/>
              </w:rPr>
            </w:pPr>
          </w:p>
          <w:p w14:paraId="6CA1AB5D">
            <w:pPr>
              <w:keepNext w:val="0"/>
              <w:keepLines w:val="0"/>
              <w:pageBreakBefore w:val="0"/>
              <w:kinsoku/>
              <w:wordWrap/>
              <w:overflowPunct/>
              <w:topLinePunct w:val="0"/>
              <w:bidi w:val="0"/>
              <w:adjustRightInd w:val="0"/>
              <w:snapToGrid w:val="0"/>
              <w:spacing w:line="560" w:lineRule="exact"/>
              <w:ind w:left="0" w:leftChars="0" w:right="0"/>
              <w:jc w:val="center"/>
              <w:rPr>
                <w:rFonts w:hint="eastAsia" w:ascii="Times New Roman" w:hAnsi="Times New Roman"/>
                <w:sz w:val="24"/>
              </w:rPr>
            </w:pPr>
          </w:p>
          <w:p w14:paraId="697BB0D9">
            <w:pPr>
              <w:keepNext w:val="0"/>
              <w:keepLines w:val="0"/>
              <w:pageBreakBefore w:val="0"/>
              <w:kinsoku/>
              <w:wordWrap/>
              <w:overflowPunct/>
              <w:topLinePunct w:val="0"/>
              <w:bidi w:val="0"/>
              <w:adjustRightInd w:val="0"/>
              <w:snapToGrid w:val="0"/>
              <w:spacing w:line="560" w:lineRule="exact"/>
              <w:ind w:left="0" w:leftChars="0" w:right="0" w:firstLine="240" w:firstLineChars="100"/>
              <w:rPr>
                <w:rFonts w:ascii="Times New Roman" w:hAnsi="Times New Roman"/>
                <w:sz w:val="24"/>
              </w:rPr>
            </w:pPr>
            <w:r>
              <w:rPr>
                <w:rFonts w:ascii="Times New Roman" w:hAnsi="Times New Roman"/>
                <w:sz w:val="24"/>
              </w:rPr>
              <w:t>芙蓉湖</w:t>
            </w:r>
          </w:p>
          <w:p w14:paraId="02221F40">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太液池</w:t>
            </w:r>
          </w:p>
          <w:p w14:paraId="274239B5">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兴庆湖等</w:t>
            </w:r>
          </w:p>
        </w:tc>
        <w:tc>
          <w:tcPr>
            <w:tcW w:w="1755" w:type="pct"/>
            <w:noWrap w:val="0"/>
            <w:vAlign w:val="center"/>
          </w:tcPr>
          <w:p w14:paraId="13395753">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水温</w:t>
            </w:r>
          </w:p>
        </w:tc>
        <w:tc>
          <w:tcPr>
            <w:tcW w:w="1306" w:type="pct"/>
            <w:vMerge w:val="restart"/>
            <w:noWrap w:val="0"/>
            <w:vAlign w:val="center"/>
          </w:tcPr>
          <w:p w14:paraId="7F1A89E5">
            <w:pPr>
              <w:keepNext w:val="0"/>
              <w:keepLines w:val="0"/>
              <w:pageBreakBefore w:val="0"/>
              <w:kinsoku/>
              <w:wordWrap/>
              <w:overflowPunct/>
              <w:topLinePunct w:val="0"/>
              <w:bidi w:val="0"/>
              <w:adjustRightInd w:val="0"/>
              <w:snapToGrid w:val="0"/>
              <w:spacing w:line="560" w:lineRule="exact"/>
              <w:ind w:left="0" w:leftChars="0" w:right="0"/>
              <w:jc w:val="center"/>
              <w:rPr>
                <w:rFonts w:hint="eastAsia" w:ascii="Times New Roman" w:hAnsi="Times New Roman"/>
                <w:sz w:val="24"/>
              </w:rPr>
            </w:pPr>
          </w:p>
          <w:p w14:paraId="7F79E9DE">
            <w:pPr>
              <w:keepNext w:val="0"/>
              <w:keepLines w:val="0"/>
              <w:pageBreakBefore w:val="0"/>
              <w:kinsoku/>
              <w:wordWrap/>
              <w:overflowPunct/>
              <w:topLinePunct w:val="0"/>
              <w:bidi w:val="0"/>
              <w:adjustRightInd w:val="0"/>
              <w:snapToGrid w:val="0"/>
              <w:spacing w:line="560" w:lineRule="exact"/>
              <w:ind w:left="0" w:leftChars="0" w:right="0"/>
              <w:jc w:val="center"/>
              <w:rPr>
                <w:rFonts w:hint="eastAsia" w:ascii="Times New Roman" w:hAnsi="Times New Roman"/>
                <w:sz w:val="24"/>
              </w:rPr>
            </w:pPr>
          </w:p>
          <w:p w14:paraId="7505E417">
            <w:pPr>
              <w:keepNext w:val="0"/>
              <w:keepLines w:val="0"/>
              <w:pageBreakBefore w:val="0"/>
              <w:kinsoku/>
              <w:wordWrap/>
              <w:overflowPunct/>
              <w:topLinePunct w:val="0"/>
              <w:bidi w:val="0"/>
              <w:adjustRightInd w:val="0"/>
              <w:snapToGrid w:val="0"/>
              <w:spacing w:line="560" w:lineRule="exact"/>
              <w:ind w:left="0" w:leftChars="0" w:right="0"/>
              <w:jc w:val="center"/>
              <w:rPr>
                <w:rFonts w:hint="eastAsia" w:ascii="Times New Roman" w:hAnsi="Times New Roman"/>
                <w:sz w:val="24"/>
              </w:rPr>
            </w:pPr>
          </w:p>
          <w:p w14:paraId="65335A2F">
            <w:pPr>
              <w:keepNext w:val="0"/>
              <w:keepLines w:val="0"/>
              <w:pageBreakBefore w:val="0"/>
              <w:kinsoku/>
              <w:wordWrap/>
              <w:overflowPunct/>
              <w:topLinePunct w:val="0"/>
              <w:bidi w:val="0"/>
              <w:adjustRightInd w:val="0"/>
              <w:snapToGrid w:val="0"/>
              <w:spacing w:line="560" w:lineRule="exact"/>
              <w:ind w:left="0" w:leftChars="0" w:right="0"/>
              <w:jc w:val="center"/>
              <w:rPr>
                <w:rFonts w:hint="eastAsia" w:ascii="Times New Roman" w:hAnsi="Times New Roman"/>
                <w:sz w:val="24"/>
              </w:rPr>
            </w:pPr>
          </w:p>
          <w:p w14:paraId="3F1A3EF3">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hint="eastAsia" w:ascii="Times New Roman" w:hAnsi="Times New Roman"/>
                <w:sz w:val="24"/>
              </w:rPr>
              <w:t>4000</w:t>
            </w:r>
            <w:r>
              <w:rPr>
                <w:rFonts w:ascii="Times New Roman" w:hAnsi="Times New Roman"/>
                <w:sz w:val="24"/>
              </w:rPr>
              <w:t>元/排放口·次</w:t>
            </w:r>
          </w:p>
        </w:tc>
      </w:tr>
      <w:tr w14:paraId="7285E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1525D99A">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62AB0C9F">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20931A4B">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33E9FAEE">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pH</w:t>
            </w:r>
          </w:p>
        </w:tc>
        <w:tc>
          <w:tcPr>
            <w:tcW w:w="1306" w:type="pct"/>
            <w:vMerge w:val="continue"/>
            <w:noWrap w:val="0"/>
            <w:vAlign w:val="center"/>
          </w:tcPr>
          <w:p w14:paraId="489BD7D5">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556B0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2E0FF3DC">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576F32FE">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4BE89599">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1C59B797">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高锰酸盐指数</w:t>
            </w:r>
          </w:p>
        </w:tc>
        <w:tc>
          <w:tcPr>
            <w:tcW w:w="1306" w:type="pct"/>
            <w:vMerge w:val="continue"/>
            <w:noWrap w:val="0"/>
            <w:vAlign w:val="center"/>
          </w:tcPr>
          <w:p w14:paraId="43A6E679">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43C76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60DF889A">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0BEDCFAC">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4317F3B9">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1C355F6E">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化学需氧量</w:t>
            </w:r>
          </w:p>
        </w:tc>
        <w:tc>
          <w:tcPr>
            <w:tcW w:w="1306" w:type="pct"/>
            <w:vMerge w:val="continue"/>
            <w:noWrap w:val="0"/>
            <w:vAlign w:val="center"/>
          </w:tcPr>
          <w:p w14:paraId="29613894">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67A44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366403A5">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2BD89C24">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02A1AE82">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6E195073">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氨氮</w:t>
            </w:r>
          </w:p>
        </w:tc>
        <w:tc>
          <w:tcPr>
            <w:tcW w:w="1306" w:type="pct"/>
            <w:vMerge w:val="continue"/>
            <w:noWrap w:val="0"/>
            <w:vAlign w:val="center"/>
          </w:tcPr>
          <w:p w14:paraId="17E122FF">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4D238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1A432042">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20CDF369">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7977BD11">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6C78A29F">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总磷</w:t>
            </w:r>
          </w:p>
        </w:tc>
        <w:tc>
          <w:tcPr>
            <w:tcW w:w="1306" w:type="pct"/>
            <w:vMerge w:val="continue"/>
            <w:noWrap w:val="0"/>
            <w:vAlign w:val="center"/>
          </w:tcPr>
          <w:p w14:paraId="12D5D718">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77AB6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5B03538F">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34F43EAF">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0D0E1ECC">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1959AB5A">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溶解氧</w:t>
            </w:r>
          </w:p>
        </w:tc>
        <w:tc>
          <w:tcPr>
            <w:tcW w:w="1306" w:type="pct"/>
            <w:vMerge w:val="continue"/>
            <w:noWrap w:val="0"/>
            <w:vAlign w:val="center"/>
          </w:tcPr>
          <w:p w14:paraId="6DF6595B">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28DB5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60C12561">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21DAF9D0">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4B85860B">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0926D589">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透明度</w:t>
            </w:r>
          </w:p>
        </w:tc>
        <w:tc>
          <w:tcPr>
            <w:tcW w:w="1306" w:type="pct"/>
            <w:vMerge w:val="continue"/>
            <w:noWrap w:val="0"/>
            <w:vAlign w:val="center"/>
          </w:tcPr>
          <w:p w14:paraId="1BD48072">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1F72B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22101084">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55F23634">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78C3C026">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268F2F6B">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氧化还原电位</w:t>
            </w:r>
          </w:p>
        </w:tc>
        <w:tc>
          <w:tcPr>
            <w:tcW w:w="1306" w:type="pct"/>
            <w:vMerge w:val="continue"/>
            <w:noWrap w:val="0"/>
            <w:vAlign w:val="center"/>
          </w:tcPr>
          <w:p w14:paraId="734F2D75">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5EF75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2C6317AF">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3BD6D32B">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1384E1AB">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3C829172">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五日生化需氧量</w:t>
            </w:r>
          </w:p>
        </w:tc>
        <w:tc>
          <w:tcPr>
            <w:tcW w:w="1306" w:type="pct"/>
            <w:vMerge w:val="continue"/>
            <w:noWrap w:val="0"/>
            <w:vAlign w:val="center"/>
          </w:tcPr>
          <w:p w14:paraId="11D955E0">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12DF2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7873782C">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1BDE9CF1">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2E2A3429">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046058FD">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总氮</w:t>
            </w:r>
          </w:p>
        </w:tc>
        <w:tc>
          <w:tcPr>
            <w:tcW w:w="1306" w:type="pct"/>
            <w:vMerge w:val="continue"/>
            <w:noWrap w:val="0"/>
            <w:vAlign w:val="center"/>
          </w:tcPr>
          <w:p w14:paraId="22765093">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403C2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7ADF71E3">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1256AA86">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3E9CAD03">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7569822F">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铜</w:t>
            </w:r>
          </w:p>
        </w:tc>
        <w:tc>
          <w:tcPr>
            <w:tcW w:w="1306" w:type="pct"/>
            <w:vMerge w:val="continue"/>
            <w:noWrap w:val="0"/>
            <w:vAlign w:val="center"/>
          </w:tcPr>
          <w:p w14:paraId="65DA77D3">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0D0C9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70050AE0">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030F1533">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70EC55AD">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6BBDF93C">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锌</w:t>
            </w:r>
          </w:p>
        </w:tc>
        <w:tc>
          <w:tcPr>
            <w:tcW w:w="1306" w:type="pct"/>
            <w:vMerge w:val="continue"/>
            <w:noWrap w:val="0"/>
            <w:vAlign w:val="center"/>
          </w:tcPr>
          <w:p w14:paraId="7FA56933">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62A92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5D0075B8">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51239E92">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17D80A78">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2FABD3B3">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氟化物</w:t>
            </w:r>
          </w:p>
        </w:tc>
        <w:tc>
          <w:tcPr>
            <w:tcW w:w="1306" w:type="pct"/>
            <w:vMerge w:val="continue"/>
            <w:noWrap w:val="0"/>
            <w:vAlign w:val="center"/>
          </w:tcPr>
          <w:p w14:paraId="0383CF8C">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4D70B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1EF22ED1">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6D5BE443">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063A6D8B">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06660D79">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硒</w:t>
            </w:r>
          </w:p>
        </w:tc>
        <w:tc>
          <w:tcPr>
            <w:tcW w:w="1306" w:type="pct"/>
            <w:vMerge w:val="continue"/>
            <w:noWrap w:val="0"/>
            <w:vAlign w:val="center"/>
          </w:tcPr>
          <w:p w14:paraId="069F2425">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76145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5AC7D970">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72E6A75D">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48F4BE37">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238A9FD8">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砷</w:t>
            </w:r>
          </w:p>
        </w:tc>
        <w:tc>
          <w:tcPr>
            <w:tcW w:w="1306" w:type="pct"/>
            <w:vMerge w:val="continue"/>
            <w:noWrap w:val="0"/>
            <w:vAlign w:val="center"/>
          </w:tcPr>
          <w:p w14:paraId="2B12D222">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7DE99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5CBB2E0A">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2D3E480B">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572E6DB1">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1C40625C">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汞</w:t>
            </w:r>
          </w:p>
        </w:tc>
        <w:tc>
          <w:tcPr>
            <w:tcW w:w="1306" w:type="pct"/>
            <w:vMerge w:val="continue"/>
            <w:noWrap w:val="0"/>
            <w:vAlign w:val="center"/>
          </w:tcPr>
          <w:p w14:paraId="0A7A77E3">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78C9F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14C8CE86">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3EAD54CC">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733301B7">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0773B5C0">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镉</w:t>
            </w:r>
          </w:p>
        </w:tc>
        <w:tc>
          <w:tcPr>
            <w:tcW w:w="1306" w:type="pct"/>
            <w:vMerge w:val="continue"/>
            <w:noWrap w:val="0"/>
            <w:vAlign w:val="center"/>
          </w:tcPr>
          <w:p w14:paraId="264EFDB8">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2968F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2A3D65CA">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16BF95E7">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14D3EC24">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2A7167A5">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铬（六价）</w:t>
            </w:r>
          </w:p>
        </w:tc>
        <w:tc>
          <w:tcPr>
            <w:tcW w:w="1306" w:type="pct"/>
            <w:vMerge w:val="continue"/>
            <w:noWrap w:val="0"/>
            <w:vAlign w:val="center"/>
          </w:tcPr>
          <w:p w14:paraId="20BD9334">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70747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45FCD38A">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7682FEE0">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2022604F">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6A7CCF43">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铅</w:t>
            </w:r>
          </w:p>
        </w:tc>
        <w:tc>
          <w:tcPr>
            <w:tcW w:w="1306" w:type="pct"/>
            <w:vMerge w:val="continue"/>
            <w:noWrap w:val="0"/>
            <w:vAlign w:val="center"/>
          </w:tcPr>
          <w:p w14:paraId="5AAE503A">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2745D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52F0D231">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12752210">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6DF0BB5D">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4DE60F20">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氰化物</w:t>
            </w:r>
          </w:p>
        </w:tc>
        <w:tc>
          <w:tcPr>
            <w:tcW w:w="1306" w:type="pct"/>
            <w:vMerge w:val="continue"/>
            <w:noWrap w:val="0"/>
            <w:vAlign w:val="center"/>
          </w:tcPr>
          <w:p w14:paraId="3CEECC74">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7AE94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7FA50821">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39255698">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0E3A9345">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31E9749B">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挥发酚</w:t>
            </w:r>
          </w:p>
        </w:tc>
        <w:tc>
          <w:tcPr>
            <w:tcW w:w="1306" w:type="pct"/>
            <w:vMerge w:val="continue"/>
            <w:noWrap w:val="0"/>
            <w:vAlign w:val="center"/>
          </w:tcPr>
          <w:p w14:paraId="2400CBBA">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2015D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06E1D73C">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44E2A358">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7F5C1030">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02D76D22">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石油类</w:t>
            </w:r>
          </w:p>
        </w:tc>
        <w:tc>
          <w:tcPr>
            <w:tcW w:w="1306" w:type="pct"/>
            <w:vMerge w:val="continue"/>
            <w:noWrap w:val="0"/>
            <w:vAlign w:val="center"/>
          </w:tcPr>
          <w:p w14:paraId="31B6A71A">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73116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56A81598">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361B0EE5">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01CA7D4B">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2F48A4C4">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阴离子表面活性剂</w:t>
            </w:r>
          </w:p>
        </w:tc>
        <w:tc>
          <w:tcPr>
            <w:tcW w:w="1306" w:type="pct"/>
            <w:vMerge w:val="continue"/>
            <w:noWrap w:val="0"/>
            <w:vAlign w:val="center"/>
          </w:tcPr>
          <w:p w14:paraId="35342350">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6B6FE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1D7A57E5">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0CCE244F">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3D4CCEF7">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38045CE6">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硫化物</w:t>
            </w:r>
          </w:p>
        </w:tc>
        <w:tc>
          <w:tcPr>
            <w:tcW w:w="1306" w:type="pct"/>
            <w:vMerge w:val="continue"/>
            <w:noWrap w:val="0"/>
            <w:vAlign w:val="center"/>
          </w:tcPr>
          <w:p w14:paraId="261BBA12">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665BE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53E0B44F">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175E2EFF">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5B2E83AC">
            <w:pPr>
              <w:keepNext w:val="0"/>
              <w:keepLines w:val="0"/>
              <w:pageBreakBefore w:val="0"/>
              <w:kinsoku/>
              <w:wordWrap/>
              <w:overflowPunct/>
              <w:topLinePunct w:val="0"/>
              <w:bidi w:val="0"/>
              <w:adjustRightInd w:val="0"/>
              <w:snapToGrid w:val="0"/>
              <w:spacing w:line="560" w:lineRule="exact"/>
              <w:ind w:left="0" w:leftChars="0" w:right="0"/>
              <w:jc w:val="left"/>
              <w:rPr>
                <w:rFonts w:ascii="Times New Roman" w:hAnsi="Times New Roman"/>
                <w:sz w:val="24"/>
              </w:rPr>
            </w:pPr>
          </w:p>
        </w:tc>
        <w:tc>
          <w:tcPr>
            <w:tcW w:w="1755" w:type="pct"/>
            <w:noWrap w:val="0"/>
            <w:vAlign w:val="center"/>
          </w:tcPr>
          <w:p w14:paraId="0202B6CE">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粪大肠菌群</w:t>
            </w:r>
          </w:p>
        </w:tc>
        <w:tc>
          <w:tcPr>
            <w:tcW w:w="1306" w:type="pct"/>
            <w:vMerge w:val="continue"/>
            <w:noWrap w:val="0"/>
            <w:vAlign w:val="center"/>
          </w:tcPr>
          <w:p w14:paraId="430293E7">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52C94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restart"/>
            <w:noWrap w:val="0"/>
            <w:vAlign w:val="center"/>
          </w:tcPr>
          <w:p w14:paraId="74D071DD">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4</w:t>
            </w:r>
          </w:p>
        </w:tc>
        <w:tc>
          <w:tcPr>
            <w:tcW w:w="683" w:type="pct"/>
            <w:vMerge w:val="restart"/>
            <w:noWrap w:val="0"/>
            <w:vAlign w:val="center"/>
          </w:tcPr>
          <w:p w14:paraId="5C5F1DBE">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医疗废水</w:t>
            </w:r>
          </w:p>
        </w:tc>
        <w:tc>
          <w:tcPr>
            <w:tcW w:w="835" w:type="pct"/>
            <w:vMerge w:val="restart"/>
            <w:noWrap w:val="0"/>
            <w:vAlign w:val="center"/>
          </w:tcPr>
          <w:p w14:paraId="6C573A65">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医院、门诊部、诊所等</w:t>
            </w:r>
          </w:p>
        </w:tc>
        <w:tc>
          <w:tcPr>
            <w:tcW w:w="1755" w:type="pct"/>
            <w:noWrap w:val="0"/>
            <w:vAlign w:val="center"/>
          </w:tcPr>
          <w:p w14:paraId="29372725">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pH</w:t>
            </w:r>
          </w:p>
        </w:tc>
        <w:tc>
          <w:tcPr>
            <w:tcW w:w="1306" w:type="pct"/>
            <w:vMerge w:val="restart"/>
            <w:noWrap w:val="0"/>
            <w:vAlign w:val="center"/>
          </w:tcPr>
          <w:p w14:paraId="31EFC556">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hint="eastAsia" w:ascii="Times New Roman" w:hAnsi="Times New Roman"/>
                <w:sz w:val="24"/>
              </w:rPr>
              <w:t>1500</w:t>
            </w:r>
            <w:r>
              <w:rPr>
                <w:rFonts w:ascii="Times New Roman" w:hAnsi="Times New Roman"/>
                <w:sz w:val="24"/>
              </w:rPr>
              <w:t>元/排放口·次</w:t>
            </w:r>
          </w:p>
        </w:tc>
      </w:tr>
      <w:tr w14:paraId="785F8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3AC7A9B1">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70BF98BB">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34F1EF0C">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70774D8B">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化学需氧量</w:t>
            </w:r>
          </w:p>
        </w:tc>
        <w:tc>
          <w:tcPr>
            <w:tcW w:w="1306" w:type="pct"/>
            <w:vMerge w:val="continue"/>
            <w:noWrap w:val="0"/>
            <w:vAlign w:val="center"/>
          </w:tcPr>
          <w:p w14:paraId="7A40041F">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2825E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3D72D99D">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42AE578F">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1BF45304">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0CB6F2FB">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五日生化需氧量</w:t>
            </w:r>
          </w:p>
        </w:tc>
        <w:tc>
          <w:tcPr>
            <w:tcW w:w="1306" w:type="pct"/>
            <w:vMerge w:val="continue"/>
            <w:noWrap w:val="0"/>
            <w:vAlign w:val="center"/>
          </w:tcPr>
          <w:p w14:paraId="0B7CBD74">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79FFD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74185FD2">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50CA3CCD">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2BEB55E3">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1A1C88B2">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悬浮物</w:t>
            </w:r>
          </w:p>
        </w:tc>
        <w:tc>
          <w:tcPr>
            <w:tcW w:w="1306" w:type="pct"/>
            <w:vMerge w:val="continue"/>
            <w:noWrap w:val="0"/>
            <w:vAlign w:val="center"/>
          </w:tcPr>
          <w:p w14:paraId="7346DF31">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4C2B1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0C2A08FE">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2B476C15">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7D48430F">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018E7F30">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氨氮</w:t>
            </w:r>
          </w:p>
        </w:tc>
        <w:tc>
          <w:tcPr>
            <w:tcW w:w="1306" w:type="pct"/>
            <w:vMerge w:val="continue"/>
            <w:noWrap w:val="0"/>
            <w:vAlign w:val="center"/>
          </w:tcPr>
          <w:p w14:paraId="7E95D297">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16F79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3027EFCC">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30AF0B55">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5506B6D1">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6A98EE9E">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动植物油</w:t>
            </w:r>
          </w:p>
        </w:tc>
        <w:tc>
          <w:tcPr>
            <w:tcW w:w="1306" w:type="pct"/>
            <w:vMerge w:val="continue"/>
            <w:noWrap w:val="0"/>
            <w:vAlign w:val="center"/>
          </w:tcPr>
          <w:p w14:paraId="7E915611">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0ED95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31323268">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2FBCD3D5">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4B5DF479">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4ADEA2A7">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阴离子表面活性剂</w:t>
            </w:r>
          </w:p>
        </w:tc>
        <w:tc>
          <w:tcPr>
            <w:tcW w:w="1306" w:type="pct"/>
            <w:vMerge w:val="continue"/>
            <w:noWrap w:val="0"/>
            <w:vAlign w:val="center"/>
          </w:tcPr>
          <w:p w14:paraId="43293917">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5B85C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78770D86">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4A2A9243">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7D0A81AC">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03468B03">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粪大肠菌群数</w:t>
            </w:r>
          </w:p>
        </w:tc>
        <w:tc>
          <w:tcPr>
            <w:tcW w:w="1306" w:type="pct"/>
            <w:vMerge w:val="continue"/>
            <w:noWrap w:val="0"/>
            <w:vAlign w:val="center"/>
          </w:tcPr>
          <w:p w14:paraId="24B97AFF">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4B9A4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54C946BE">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418B07F1">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3AD8F4BF">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0028A598">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总余氯</w:t>
            </w:r>
          </w:p>
        </w:tc>
        <w:tc>
          <w:tcPr>
            <w:tcW w:w="1306" w:type="pct"/>
            <w:vMerge w:val="continue"/>
            <w:noWrap w:val="0"/>
            <w:vAlign w:val="center"/>
          </w:tcPr>
          <w:p w14:paraId="0A31C3BA">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1D91B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07DC1A22">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61E5FA8C">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6796ECD5">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12262116">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石油类</w:t>
            </w:r>
          </w:p>
        </w:tc>
        <w:tc>
          <w:tcPr>
            <w:tcW w:w="1306" w:type="pct"/>
            <w:vMerge w:val="continue"/>
            <w:noWrap w:val="0"/>
            <w:vAlign w:val="center"/>
          </w:tcPr>
          <w:p w14:paraId="4DA45E91">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2EA58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60F946B4">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6FD67A3E">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1DEEF9E3">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51E7CBEE">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挥发酚</w:t>
            </w:r>
          </w:p>
        </w:tc>
        <w:tc>
          <w:tcPr>
            <w:tcW w:w="1306" w:type="pct"/>
            <w:vMerge w:val="continue"/>
            <w:noWrap w:val="0"/>
            <w:vAlign w:val="center"/>
          </w:tcPr>
          <w:p w14:paraId="315C435C">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4E71D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410963F7">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3DE8C297">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5D25CAA8">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40F0DF1C">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流量</w:t>
            </w:r>
          </w:p>
        </w:tc>
        <w:tc>
          <w:tcPr>
            <w:tcW w:w="1306" w:type="pct"/>
            <w:vMerge w:val="continue"/>
            <w:noWrap w:val="0"/>
            <w:vAlign w:val="center"/>
          </w:tcPr>
          <w:p w14:paraId="187A408D">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4E9FE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35E54A4D">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40A9A8D4">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2077D1F0">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0CC10A4C">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pPr>
          </w:p>
          <w:p w14:paraId="43A42963">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pPr>
            <w:r>
              <w:t>总氰化物</w:t>
            </w:r>
          </w:p>
          <w:p w14:paraId="05CB1DDA">
            <w:pPr>
              <w:pStyle w:val="8"/>
              <w:keepNext w:val="0"/>
              <w:keepLines w:val="0"/>
              <w:pageBreakBefore w:val="0"/>
              <w:kinsoku/>
              <w:wordWrap/>
              <w:overflowPunct/>
              <w:topLinePunct w:val="0"/>
              <w:bidi w:val="0"/>
              <w:spacing w:after="0" w:line="560" w:lineRule="exact"/>
              <w:ind w:left="0" w:leftChars="0" w:right="0"/>
            </w:pPr>
          </w:p>
        </w:tc>
        <w:tc>
          <w:tcPr>
            <w:tcW w:w="1306" w:type="pct"/>
            <w:vMerge w:val="continue"/>
            <w:noWrap w:val="0"/>
            <w:vAlign w:val="center"/>
          </w:tcPr>
          <w:p w14:paraId="48E15FDD">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4FEE7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restart"/>
            <w:noWrap w:val="0"/>
            <w:vAlign w:val="center"/>
          </w:tcPr>
          <w:p w14:paraId="21B6C007">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5</w:t>
            </w:r>
          </w:p>
        </w:tc>
        <w:tc>
          <w:tcPr>
            <w:tcW w:w="683" w:type="pct"/>
            <w:vMerge w:val="restart"/>
            <w:noWrap w:val="0"/>
            <w:vAlign w:val="center"/>
          </w:tcPr>
          <w:p w14:paraId="4F10C4B1">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挥发性有机气体排放监测</w:t>
            </w:r>
          </w:p>
        </w:tc>
        <w:tc>
          <w:tcPr>
            <w:tcW w:w="835" w:type="pct"/>
            <w:vMerge w:val="restart"/>
            <w:noWrap w:val="0"/>
            <w:vAlign w:val="center"/>
          </w:tcPr>
          <w:p w14:paraId="5EFAC864">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印刷企业有机废气</w:t>
            </w:r>
          </w:p>
        </w:tc>
        <w:tc>
          <w:tcPr>
            <w:tcW w:w="1755" w:type="pct"/>
            <w:noWrap w:val="0"/>
            <w:vAlign w:val="center"/>
          </w:tcPr>
          <w:p w14:paraId="2EB16BF5">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苯</w:t>
            </w:r>
          </w:p>
        </w:tc>
        <w:tc>
          <w:tcPr>
            <w:tcW w:w="1306" w:type="pct"/>
            <w:vMerge w:val="restart"/>
            <w:noWrap w:val="0"/>
            <w:vAlign w:val="center"/>
          </w:tcPr>
          <w:p w14:paraId="2990E3A9">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hint="eastAsia" w:ascii="Times New Roman" w:hAnsi="Times New Roman"/>
                <w:sz w:val="24"/>
              </w:rPr>
              <w:t>3200</w:t>
            </w:r>
            <w:r>
              <w:rPr>
                <w:rFonts w:ascii="Times New Roman" w:hAnsi="Times New Roman"/>
                <w:sz w:val="24"/>
              </w:rPr>
              <w:t>元/排气筒</w:t>
            </w:r>
          </w:p>
        </w:tc>
      </w:tr>
      <w:tr w14:paraId="124A7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34F65CBE">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692E7FB0">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48F731CC">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079DFADF">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甲苯</w:t>
            </w:r>
          </w:p>
        </w:tc>
        <w:tc>
          <w:tcPr>
            <w:tcW w:w="1306" w:type="pct"/>
            <w:vMerge w:val="continue"/>
            <w:noWrap w:val="0"/>
            <w:vAlign w:val="center"/>
          </w:tcPr>
          <w:p w14:paraId="1B5EA03B">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38BEC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5AC71491">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475854ED">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5D5D19AC">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566EB8C5">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二甲苯</w:t>
            </w:r>
          </w:p>
        </w:tc>
        <w:tc>
          <w:tcPr>
            <w:tcW w:w="1306" w:type="pct"/>
            <w:vMerge w:val="continue"/>
            <w:noWrap w:val="0"/>
            <w:vAlign w:val="center"/>
          </w:tcPr>
          <w:p w14:paraId="0286C367">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54679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044AE612">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15BFBD6E">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2A75FD17">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6B30D7FC">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甲醛</w:t>
            </w:r>
          </w:p>
        </w:tc>
        <w:tc>
          <w:tcPr>
            <w:tcW w:w="1306" w:type="pct"/>
            <w:vMerge w:val="continue"/>
            <w:noWrap w:val="0"/>
            <w:vAlign w:val="center"/>
          </w:tcPr>
          <w:p w14:paraId="121A64A9">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6493C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3C54CC18">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307AACA9">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4EF5B1DE">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39A44D27">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乙酸酯类</w:t>
            </w:r>
          </w:p>
        </w:tc>
        <w:tc>
          <w:tcPr>
            <w:tcW w:w="1306" w:type="pct"/>
            <w:vMerge w:val="continue"/>
            <w:noWrap w:val="0"/>
            <w:vAlign w:val="center"/>
          </w:tcPr>
          <w:p w14:paraId="4BE11946">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5F571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20" w:type="pct"/>
            <w:vMerge w:val="continue"/>
            <w:noWrap w:val="0"/>
            <w:vAlign w:val="center"/>
          </w:tcPr>
          <w:p w14:paraId="2E48411C">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448280F4">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6605F7CB">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3A24ED00">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非甲烷总烃及去除效率</w:t>
            </w:r>
          </w:p>
        </w:tc>
        <w:tc>
          <w:tcPr>
            <w:tcW w:w="1306" w:type="pct"/>
            <w:vMerge w:val="continue"/>
            <w:noWrap w:val="0"/>
            <w:vAlign w:val="center"/>
          </w:tcPr>
          <w:p w14:paraId="7BA30FE3">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6BED0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exact"/>
          <w:jc w:val="center"/>
        </w:trPr>
        <w:tc>
          <w:tcPr>
            <w:tcW w:w="420" w:type="pct"/>
            <w:vMerge w:val="continue"/>
            <w:noWrap w:val="0"/>
            <w:vAlign w:val="center"/>
          </w:tcPr>
          <w:p w14:paraId="71016F63">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1FBA858B">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restart"/>
            <w:noWrap w:val="0"/>
            <w:vAlign w:val="center"/>
          </w:tcPr>
          <w:p w14:paraId="79856BA5">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加油站有机废气</w:t>
            </w:r>
          </w:p>
        </w:tc>
        <w:tc>
          <w:tcPr>
            <w:tcW w:w="1755" w:type="pct"/>
            <w:noWrap w:val="0"/>
            <w:vAlign w:val="center"/>
          </w:tcPr>
          <w:p w14:paraId="3028BC57">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挥发性有机物（以非甲烷总烃计）</w:t>
            </w:r>
          </w:p>
        </w:tc>
        <w:tc>
          <w:tcPr>
            <w:tcW w:w="1306" w:type="pct"/>
            <w:noWrap w:val="0"/>
            <w:vAlign w:val="center"/>
          </w:tcPr>
          <w:p w14:paraId="6D0DCDBE">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hint="eastAsia" w:ascii="Times New Roman" w:hAnsi="Times New Roman"/>
                <w:sz w:val="24"/>
              </w:rPr>
              <w:t>2000</w:t>
            </w:r>
            <w:r>
              <w:rPr>
                <w:rFonts w:ascii="Times New Roman" w:hAnsi="Times New Roman"/>
                <w:sz w:val="24"/>
              </w:rPr>
              <w:t>元/站</w:t>
            </w:r>
          </w:p>
        </w:tc>
      </w:tr>
      <w:tr w14:paraId="0B1B7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20" w:type="pct"/>
            <w:vMerge w:val="continue"/>
            <w:noWrap w:val="0"/>
            <w:vAlign w:val="center"/>
          </w:tcPr>
          <w:p w14:paraId="65F61858">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5B8F3D7F">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6BB86CA6">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5EA0162B">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密闭性</w:t>
            </w:r>
          </w:p>
        </w:tc>
        <w:tc>
          <w:tcPr>
            <w:tcW w:w="1306" w:type="pct"/>
            <w:vMerge w:val="restart"/>
            <w:noWrap w:val="0"/>
            <w:vAlign w:val="center"/>
          </w:tcPr>
          <w:p w14:paraId="61DCBD42">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hint="eastAsia" w:ascii="Times New Roman" w:hAnsi="Times New Roman"/>
                <w:sz w:val="24"/>
              </w:rPr>
              <w:t>3000</w:t>
            </w:r>
            <w:r>
              <w:rPr>
                <w:rFonts w:ascii="Times New Roman" w:hAnsi="Times New Roman"/>
                <w:sz w:val="24"/>
              </w:rPr>
              <w:t>元/站</w:t>
            </w:r>
          </w:p>
        </w:tc>
      </w:tr>
      <w:tr w14:paraId="5DFF0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20" w:type="pct"/>
            <w:vMerge w:val="continue"/>
            <w:noWrap w:val="0"/>
            <w:vAlign w:val="center"/>
          </w:tcPr>
          <w:p w14:paraId="1B8EFE30">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32FE73CB">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5D255B72">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5FEA094C">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液阻</w:t>
            </w:r>
          </w:p>
        </w:tc>
        <w:tc>
          <w:tcPr>
            <w:tcW w:w="1306" w:type="pct"/>
            <w:vMerge w:val="continue"/>
            <w:noWrap w:val="0"/>
            <w:vAlign w:val="center"/>
          </w:tcPr>
          <w:p w14:paraId="61B70014">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6B9F7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20" w:type="pct"/>
            <w:vMerge w:val="continue"/>
            <w:noWrap w:val="0"/>
            <w:vAlign w:val="center"/>
          </w:tcPr>
          <w:p w14:paraId="511C0301">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0ADA8CA3">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594CD0B4">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451A25B1">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气液比</w:t>
            </w:r>
          </w:p>
        </w:tc>
        <w:tc>
          <w:tcPr>
            <w:tcW w:w="1306" w:type="pct"/>
            <w:vMerge w:val="continue"/>
            <w:noWrap w:val="0"/>
            <w:vAlign w:val="center"/>
          </w:tcPr>
          <w:p w14:paraId="0AF45A9F">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2713A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420" w:type="pct"/>
            <w:vMerge w:val="restart"/>
            <w:noWrap w:val="0"/>
            <w:vAlign w:val="center"/>
          </w:tcPr>
          <w:p w14:paraId="040E8975">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6</w:t>
            </w:r>
          </w:p>
        </w:tc>
        <w:tc>
          <w:tcPr>
            <w:tcW w:w="683" w:type="pct"/>
            <w:vMerge w:val="restart"/>
            <w:noWrap w:val="0"/>
            <w:vAlign w:val="center"/>
          </w:tcPr>
          <w:p w14:paraId="19BBE202">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汽修企业烤漆房有机废气</w:t>
            </w:r>
          </w:p>
        </w:tc>
        <w:tc>
          <w:tcPr>
            <w:tcW w:w="835" w:type="pct"/>
            <w:vMerge w:val="restart"/>
            <w:noWrap w:val="0"/>
            <w:vAlign w:val="center"/>
          </w:tcPr>
          <w:p w14:paraId="74FEF63F">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烤漆房</w:t>
            </w:r>
          </w:p>
        </w:tc>
        <w:tc>
          <w:tcPr>
            <w:tcW w:w="1755" w:type="pct"/>
            <w:noWrap w:val="0"/>
            <w:vAlign w:val="center"/>
          </w:tcPr>
          <w:p w14:paraId="7407AD2C">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苯</w:t>
            </w:r>
          </w:p>
        </w:tc>
        <w:tc>
          <w:tcPr>
            <w:tcW w:w="1306" w:type="pct"/>
            <w:vMerge w:val="restart"/>
            <w:noWrap w:val="0"/>
            <w:vAlign w:val="center"/>
          </w:tcPr>
          <w:p w14:paraId="17AD7440">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hint="eastAsia" w:ascii="Times New Roman" w:hAnsi="Times New Roman"/>
                <w:sz w:val="24"/>
              </w:rPr>
              <w:t>2500</w:t>
            </w:r>
            <w:r>
              <w:rPr>
                <w:rFonts w:ascii="Times New Roman" w:hAnsi="Times New Roman"/>
                <w:sz w:val="24"/>
              </w:rPr>
              <w:t>元/排气筒</w:t>
            </w:r>
          </w:p>
        </w:tc>
      </w:tr>
      <w:tr w14:paraId="1C33D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420" w:type="pct"/>
            <w:vMerge w:val="continue"/>
            <w:noWrap w:val="0"/>
            <w:vAlign w:val="center"/>
          </w:tcPr>
          <w:p w14:paraId="781AD1C7">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2C5F6EF0">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53D5C76D">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5A623A72">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甲苯</w:t>
            </w:r>
          </w:p>
        </w:tc>
        <w:tc>
          <w:tcPr>
            <w:tcW w:w="1306" w:type="pct"/>
            <w:vMerge w:val="continue"/>
            <w:noWrap w:val="0"/>
            <w:vAlign w:val="center"/>
          </w:tcPr>
          <w:p w14:paraId="541D24D8">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737DE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420" w:type="pct"/>
            <w:vMerge w:val="continue"/>
            <w:noWrap w:val="0"/>
            <w:vAlign w:val="center"/>
          </w:tcPr>
          <w:p w14:paraId="57A26D7E">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3CDB0511">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01AD1289">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2C412BDF">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二甲苯</w:t>
            </w:r>
          </w:p>
        </w:tc>
        <w:tc>
          <w:tcPr>
            <w:tcW w:w="1306" w:type="pct"/>
            <w:vMerge w:val="continue"/>
            <w:noWrap w:val="0"/>
            <w:vAlign w:val="center"/>
          </w:tcPr>
          <w:p w14:paraId="2A1F2765">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300F6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exact"/>
          <w:jc w:val="center"/>
        </w:trPr>
        <w:tc>
          <w:tcPr>
            <w:tcW w:w="420" w:type="pct"/>
            <w:vMerge w:val="continue"/>
            <w:noWrap w:val="0"/>
            <w:vAlign w:val="center"/>
          </w:tcPr>
          <w:p w14:paraId="64324121">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311BC0C2">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38212D21">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1755" w:type="pct"/>
            <w:noWrap w:val="0"/>
            <w:vAlign w:val="center"/>
          </w:tcPr>
          <w:p w14:paraId="623FADF6">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非甲烷总烃及去除效率</w:t>
            </w:r>
          </w:p>
        </w:tc>
        <w:tc>
          <w:tcPr>
            <w:tcW w:w="1306" w:type="pct"/>
            <w:vMerge w:val="continue"/>
            <w:noWrap w:val="0"/>
            <w:vAlign w:val="center"/>
          </w:tcPr>
          <w:p w14:paraId="1A7CE6ED">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r>
      <w:tr w14:paraId="28C65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exact"/>
          <w:jc w:val="center"/>
        </w:trPr>
        <w:tc>
          <w:tcPr>
            <w:tcW w:w="420" w:type="pct"/>
            <w:noWrap w:val="0"/>
            <w:vAlign w:val="center"/>
          </w:tcPr>
          <w:p w14:paraId="619C7030">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7</w:t>
            </w:r>
          </w:p>
        </w:tc>
        <w:tc>
          <w:tcPr>
            <w:tcW w:w="683" w:type="pct"/>
            <w:noWrap w:val="0"/>
            <w:vAlign w:val="center"/>
          </w:tcPr>
          <w:p w14:paraId="2CA7B316">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土壤</w:t>
            </w:r>
          </w:p>
        </w:tc>
        <w:tc>
          <w:tcPr>
            <w:tcW w:w="2591" w:type="pct"/>
            <w:gridSpan w:val="2"/>
            <w:noWrap w:val="0"/>
            <w:vAlign w:val="center"/>
          </w:tcPr>
          <w:p w14:paraId="000AD09F">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重点行业企业、疑似污染地块等</w:t>
            </w:r>
          </w:p>
        </w:tc>
        <w:tc>
          <w:tcPr>
            <w:tcW w:w="1306" w:type="pct"/>
            <w:noWrap w:val="0"/>
            <w:vAlign w:val="center"/>
          </w:tcPr>
          <w:p w14:paraId="6D705FC4">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hint="eastAsia" w:ascii="Times New Roman" w:hAnsi="Times New Roman"/>
                <w:sz w:val="24"/>
              </w:rPr>
              <w:t>3500</w:t>
            </w:r>
            <w:r>
              <w:rPr>
                <w:rFonts w:ascii="Times New Roman" w:hAnsi="Times New Roman"/>
                <w:sz w:val="24"/>
              </w:rPr>
              <w:t>元/点位·次</w:t>
            </w:r>
          </w:p>
        </w:tc>
      </w:tr>
      <w:tr w14:paraId="5043E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20" w:type="pct"/>
            <w:vMerge w:val="restart"/>
            <w:noWrap w:val="0"/>
            <w:vAlign w:val="center"/>
          </w:tcPr>
          <w:p w14:paraId="57CA00DC">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8</w:t>
            </w:r>
          </w:p>
        </w:tc>
        <w:tc>
          <w:tcPr>
            <w:tcW w:w="683" w:type="pct"/>
            <w:vMerge w:val="restart"/>
            <w:noWrap w:val="0"/>
            <w:vAlign w:val="center"/>
          </w:tcPr>
          <w:p w14:paraId="709DF1D6">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ascii="Times New Roman" w:hAnsi="Times New Roman"/>
                <w:sz w:val="24"/>
              </w:rPr>
              <w:t>锅炉废气</w:t>
            </w:r>
          </w:p>
        </w:tc>
        <w:tc>
          <w:tcPr>
            <w:tcW w:w="835" w:type="pct"/>
            <w:vMerge w:val="restart"/>
            <w:noWrap w:val="0"/>
            <w:vAlign w:val="center"/>
          </w:tcPr>
          <w:p w14:paraId="36376F4F">
            <w:pPr>
              <w:keepNext w:val="0"/>
              <w:keepLines w:val="0"/>
              <w:pageBreakBefore w:val="0"/>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r>
              <w:rPr>
                <w:rFonts w:ascii="Times New Roman" w:hAnsi="Times New Roman"/>
                <w:kern w:val="0"/>
                <w:sz w:val="24"/>
              </w:rPr>
              <w:t>锅炉监测</w:t>
            </w:r>
          </w:p>
        </w:tc>
        <w:tc>
          <w:tcPr>
            <w:tcW w:w="1755" w:type="pct"/>
            <w:noWrap w:val="0"/>
            <w:vAlign w:val="center"/>
          </w:tcPr>
          <w:p w14:paraId="66000C09">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氮氧化物（以NO</w:t>
            </w:r>
            <w:r>
              <w:rPr>
                <w:rStyle w:val="18"/>
                <w:rFonts w:hint="default" w:ascii="Times New Roman" w:hAnsi="Times New Roman" w:cs="Times New Roman"/>
                <w:color w:val="auto"/>
                <w:sz w:val="24"/>
                <w:szCs w:val="24"/>
              </w:rPr>
              <w:t>2</w:t>
            </w:r>
            <w:r>
              <w:rPr>
                <w:rStyle w:val="19"/>
                <w:rFonts w:hint="default" w:ascii="Times New Roman" w:hAnsi="Times New Roman" w:cs="Times New Roman"/>
                <w:color w:val="auto"/>
                <w:sz w:val="24"/>
                <w:szCs w:val="24"/>
              </w:rPr>
              <w:t>计）</w:t>
            </w:r>
          </w:p>
        </w:tc>
        <w:tc>
          <w:tcPr>
            <w:tcW w:w="1306" w:type="pct"/>
            <w:vMerge w:val="restart"/>
            <w:noWrap w:val="0"/>
            <w:vAlign w:val="center"/>
          </w:tcPr>
          <w:p w14:paraId="282D7A36">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r>
              <w:rPr>
                <w:rFonts w:hint="eastAsia" w:ascii="Times New Roman" w:hAnsi="Times New Roman"/>
                <w:sz w:val="24"/>
              </w:rPr>
              <w:t>2500</w:t>
            </w:r>
            <w:r>
              <w:rPr>
                <w:rFonts w:ascii="Times New Roman" w:hAnsi="Times New Roman"/>
                <w:sz w:val="24"/>
              </w:rPr>
              <w:t>元/排气筒</w:t>
            </w:r>
          </w:p>
        </w:tc>
      </w:tr>
      <w:tr w14:paraId="7AEA7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20" w:type="pct"/>
            <w:vMerge w:val="continue"/>
            <w:noWrap w:val="0"/>
            <w:vAlign w:val="center"/>
          </w:tcPr>
          <w:p w14:paraId="3B2F89EF">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23002237">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59E2BA1C">
            <w:pPr>
              <w:keepNext w:val="0"/>
              <w:keepLines w:val="0"/>
              <w:pageBreakBefore w:val="0"/>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p>
        </w:tc>
        <w:tc>
          <w:tcPr>
            <w:tcW w:w="1755" w:type="pct"/>
            <w:noWrap w:val="0"/>
            <w:vAlign w:val="center"/>
          </w:tcPr>
          <w:p w14:paraId="32E1D589">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二氧化硫</w:t>
            </w:r>
          </w:p>
        </w:tc>
        <w:tc>
          <w:tcPr>
            <w:tcW w:w="1306" w:type="pct"/>
            <w:vMerge w:val="continue"/>
            <w:noWrap w:val="0"/>
            <w:vAlign w:val="center"/>
          </w:tcPr>
          <w:p w14:paraId="793A97AC">
            <w:pPr>
              <w:pStyle w:val="8"/>
              <w:keepNext w:val="0"/>
              <w:keepLines w:val="0"/>
              <w:pageBreakBefore w:val="0"/>
              <w:kinsoku/>
              <w:wordWrap/>
              <w:overflowPunct/>
              <w:topLinePunct w:val="0"/>
              <w:bidi w:val="0"/>
              <w:adjustRightInd w:val="0"/>
              <w:snapToGrid w:val="0"/>
              <w:spacing w:after="0" w:line="560" w:lineRule="exact"/>
              <w:ind w:left="0" w:leftChars="0" w:right="0" w:firstLine="0" w:firstLineChars="0"/>
              <w:jc w:val="center"/>
              <w:rPr>
                <w:rFonts w:ascii="Times New Roman" w:hAnsi="Times New Roman"/>
                <w:sz w:val="24"/>
              </w:rPr>
            </w:pPr>
          </w:p>
        </w:tc>
      </w:tr>
      <w:tr w14:paraId="1517A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20" w:type="pct"/>
            <w:vMerge w:val="continue"/>
            <w:noWrap w:val="0"/>
            <w:vAlign w:val="center"/>
          </w:tcPr>
          <w:p w14:paraId="07A7D3B7">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6CBA73CA">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54E1615C">
            <w:pPr>
              <w:keepNext w:val="0"/>
              <w:keepLines w:val="0"/>
              <w:pageBreakBefore w:val="0"/>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p>
        </w:tc>
        <w:tc>
          <w:tcPr>
            <w:tcW w:w="1755" w:type="pct"/>
            <w:noWrap w:val="0"/>
            <w:vAlign w:val="center"/>
          </w:tcPr>
          <w:p w14:paraId="77F8A646">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颗粒物</w:t>
            </w:r>
          </w:p>
        </w:tc>
        <w:tc>
          <w:tcPr>
            <w:tcW w:w="1306" w:type="pct"/>
            <w:vMerge w:val="continue"/>
            <w:noWrap w:val="0"/>
            <w:vAlign w:val="center"/>
          </w:tcPr>
          <w:p w14:paraId="688E6A33">
            <w:pPr>
              <w:pStyle w:val="8"/>
              <w:keepNext w:val="0"/>
              <w:keepLines w:val="0"/>
              <w:pageBreakBefore w:val="0"/>
              <w:kinsoku/>
              <w:wordWrap/>
              <w:overflowPunct/>
              <w:topLinePunct w:val="0"/>
              <w:bidi w:val="0"/>
              <w:adjustRightInd w:val="0"/>
              <w:snapToGrid w:val="0"/>
              <w:spacing w:after="0" w:line="560" w:lineRule="exact"/>
              <w:ind w:left="0" w:leftChars="0" w:right="0" w:firstLine="0" w:firstLineChars="0"/>
              <w:jc w:val="center"/>
              <w:rPr>
                <w:rFonts w:ascii="Times New Roman" w:hAnsi="Times New Roman"/>
                <w:sz w:val="24"/>
              </w:rPr>
            </w:pPr>
          </w:p>
        </w:tc>
      </w:tr>
      <w:tr w14:paraId="285F8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20" w:type="pct"/>
            <w:vMerge w:val="continue"/>
            <w:noWrap w:val="0"/>
            <w:vAlign w:val="center"/>
          </w:tcPr>
          <w:p w14:paraId="120F24CA">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1F667A7C">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6BB30C25">
            <w:pPr>
              <w:keepNext w:val="0"/>
              <w:keepLines w:val="0"/>
              <w:pageBreakBefore w:val="0"/>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p>
        </w:tc>
        <w:tc>
          <w:tcPr>
            <w:tcW w:w="1755" w:type="pct"/>
            <w:noWrap w:val="0"/>
            <w:vAlign w:val="center"/>
          </w:tcPr>
          <w:p w14:paraId="3BE7DE73">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氧含量</w:t>
            </w:r>
          </w:p>
        </w:tc>
        <w:tc>
          <w:tcPr>
            <w:tcW w:w="1306" w:type="pct"/>
            <w:vMerge w:val="continue"/>
            <w:noWrap w:val="0"/>
            <w:vAlign w:val="center"/>
          </w:tcPr>
          <w:p w14:paraId="44AA2B71">
            <w:pPr>
              <w:pStyle w:val="8"/>
              <w:keepNext w:val="0"/>
              <w:keepLines w:val="0"/>
              <w:pageBreakBefore w:val="0"/>
              <w:kinsoku/>
              <w:wordWrap/>
              <w:overflowPunct/>
              <w:topLinePunct w:val="0"/>
              <w:bidi w:val="0"/>
              <w:adjustRightInd w:val="0"/>
              <w:snapToGrid w:val="0"/>
              <w:spacing w:after="0" w:line="560" w:lineRule="exact"/>
              <w:ind w:left="0" w:leftChars="0" w:right="0" w:firstLine="0" w:firstLineChars="0"/>
              <w:jc w:val="center"/>
              <w:rPr>
                <w:rFonts w:ascii="Times New Roman" w:hAnsi="Times New Roman"/>
                <w:sz w:val="24"/>
              </w:rPr>
            </w:pPr>
          </w:p>
        </w:tc>
      </w:tr>
      <w:tr w14:paraId="3EFEF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20" w:type="pct"/>
            <w:vMerge w:val="continue"/>
            <w:noWrap w:val="0"/>
            <w:vAlign w:val="center"/>
          </w:tcPr>
          <w:p w14:paraId="2562E89F">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62E23CE3">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3C5F59D2">
            <w:pPr>
              <w:keepNext w:val="0"/>
              <w:keepLines w:val="0"/>
              <w:pageBreakBefore w:val="0"/>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p>
        </w:tc>
        <w:tc>
          <w:tcPr>
            <w:tcW w:w="1755" w:type="pct"/>
            <w:noWrap w:val="0"/>
            <w:vAlign w:val="center"/>
          </w:tcPr>
          <w:p w14:paraId="27EE2652">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烟温</w:t>
            </w:r>
          </w:p>
        </w:tc>
        <w:tc>
          <w:tcPr>
            <w:tcW w:w="1306" w:type="pct"/>
            <w:vMerge w:val="continue"/>
            <w:noWrap w:val="0"/>
            <w:vAlign w:val="center"/>
          </w:tcPr>
          <w:p w14:paraId="646C20CC">
            <w:pPr>
              <w:pStyle w:val="8"/>
              <w:keepNext w:val="0"/>
              <w:keepLines w:val="0"/>
              <w:pageBreakBefore w:val="0"/>
              <w:kinsoku/>
              <w:wordWrap/>
              <w:overflowPunct/>
              <w:topLinePunct w:val="0"/>
              <w:bidi w:val="0"/>
              <w:adjustRightInd w:val="0"/>
              <w:snapToGrid w:val="0"/>
              <w:spacing w:after="0" w:line="560" w:lineRule="exact"/>
              <w:ind w:left="0" w:leftChars="0" w:right="0" w:firstLine="0" w:firstLineChars="0"/>
              <w:jc w:val="center"/>
              <w:rPr>
                <w:rFonts w:ascii="Times New Roman" w:hAnsi="Times New Roman"/>
                <w:sz w:val="24"/>
              </w:rPr>
            </w:pPr>
          </w:p>
        </w:tc>
      </w:tr>
      <w:tr w14:paraId="62668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20" w:type="pct"/>
            <w:vMerge w:val="continue"/>
            <w:noWrap w:val="0"/>
            <w:vAlign w:val="center"/>
          </w:tcPr>
          <w:p w14:paraId="28DF2F14">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102A97DA">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7C79471D">
            <w:pPr>
              <w:keepNext w:val="0"/>
              <w:keepLines w:val="0"/>
              <w:pageBreakBefore w:val="0"/>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p>
        </w:tc>
        <w:tc>
          <w:tcPr>
            <w:tcW w:w="1755" w:type="pct"/>
            <w:noWrap w:val="0"/>
            <w:vAlign w:val="center"/>
          </w:tcPr>
          <w:p w14:paraId="7A4664BA">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烟气量</w:t>
            </w:r>
          </w:p>
        </w:tc>
        <w:tc>
          <w:tcPr>
            <w:tcW w:w="1306" w:type="pct"/>
            <w:vMerge w:val="continue"/>
            <w:noWrap w:val="0"/>
            <w:vAlign w:val="center"/>
          </w:tcPr>
          <w:p w14:paraId="496952F6">
            <w:pPr>
              <w:pStyle w:val="8"/>
              <w:keepNext w:val="0"/>
              <w:keepLines w:val="0"/>
              <w:pageBreakBefore w:val="0"/>
              <w:kinsoku/>
              <w:wordWrap/>
              <w:overflowPunct/>
              <w:topLinePunct w:val="0"/>
              <w:bidi w:val="0"/>
              <w:adjustRightInd w:val="0"/>
              <w:snapToGrid w:val="0"/>
              <w:spacing w:after="0" w:line="560" w:lineRule="exact"/>
              <w:ind w:left="0" w:leftChars="0" w:right="0" w:firstLine="0" w:firstLineChars="0"/>
              <w:jc w:val="center"/>
              <w:rPr>
                <w:rFonts w:ascii="Times New Roman" w:hAnsi="Times New Roman"/>
                <w:sz w:val="24"/>
              </w:rPr>
            </w:pPr>
          </w:p>
        </w:tc>
      </w:tr>
      <w:tr w14:paraId="1286E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20" w:type="pct"/>
            <w:vMerge w:val="continue"/>
            <w:noWrap w:val="0"/>
            <w:vAlign w:val="center"/>
          </w:tcPr>
          <w:p w14:paraId="2D32E283">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6BB1934A">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07FF5309">
            <w:pPr>
              <w:keepNext w:val="0"/>
              <w:keepLines w:val="0"/>
              <w:pageBreakBefore w:val="0"/>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p>
        </w:tc>
        <w:tc>
          <w:tcPr>
            <w:tcW w:w="1755" w:type="pct"/>
            <w:noWrap w:val="0"/>
            <w:vAlign w:val="center"/>
          </w:tcPr>
          <w:p w14:paraId="7D76226C">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烟气流速</w:t>
            </w:r>
          </w:p>
        </w:tc>
        <w:tc>
          <w:tcPr>
            <w:tcW w:w="1306" w:type="pct"/>
            <w:vMerge w:val="continue"/>
            <w:noWrap w:val="0"/>
            <w:vAlign w:val="center"/>
          </w:tcPr>
          <w:p w14:paraId="566EFA5A">
            <w:pPr>
              <w:pStyle w:val="8"/>
              <w:keepNext w:val="0"/>
              <w:keepLines w:val="0"/>
              <w:pageBreakBefore w:val="0"/>
              <w:kinsoku/>
              <w:wordWrap/>
              <w:overflowPunct/>
              <w:topLinePunct w:val="0"/>
              <w:bidi w:val="0"/>
              <w:adjustRightInd w:val="0"/>
              <w:snapToGrid w:val="0"/>
              <w:spacing w:after="0" w:line="560" w:lineRule="exact"/>
              <w:ind w:left="0" w:leftChars="0" w:right="0" w:firstLine="0" w:firstLineChars="0"/>
              <w:jc w:val="center"/>
              <w:rPr>
                <w:rFonts w:ascii="Times New Roman" w:hAnsi="Times New Roman"/>
                <w:sz w:val="24"/>
              </w:rPr>
            </w:pPr>
          </w:p>
        </w:tc>
      </w:tr>
      <w:tr w14:paraId="4F056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20" w:type="pct"/>
            <w:vMerge w:val="continue"/>
            <w:noWrap w:val="0"/>
            <w:vAlign w:val="center"/>
          </w:tcPr>
          <w:p w14:paraId="2C814483">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683" w:type="pct"/>
            <w:vMerge w:val="continue"/>
            <w:noWrap w:val="0"/>
            <w:vAlign w:val="center"/>
          </w:tcPr>
          <w:p w14:paraId="786C6305">
            <w:pPr>
              <w:keepNext w:val="0"/>
              <w:keepLines w:val="0"/>
              <w:pageBreakBefore w:val="0"/>
              <w:kinsoku/>
              <w:wordWrap/>
              <w:overflowPunct/>
              <w:topLinePunct w:val="0"/>
              <w:bidi w:val="0"/>
              <w:adjustRightInd w:val="0"/>
              <w:snapToGrid w:val="0"/>
              <w:spacing w:line="560" w:lineRule="exact"/>
              <w:ind w:left="0" w:leftChars="0" w:right="0"/>
              <w:jc w:val="center"/>
              <w:rPr>
                <w:rFonts w:ascii="Times New Roman" w:hAnsi="Times New Roman"/>
                <w:sz w:val="24"/>
              </w:rPr>
            </w:pPr>
          </w:p>
        </w:tc>
        <w:tc>
          <w:tcPr>
            <w:tcW w:w="835" w:type="pct"/>
            <w:vMerge w:val="continue"/>
            <w:noWrap w:val="0"/>
            <w:vAlign w:val="center"/>
          </w:tcPr>
          <w:p w14:paraId="5D5F7982">
            <w:pPr>
              <w:keepNext w:val="0"/>
              <w:keepLines w:val="0"/>
              <w:pageBreakBefore w:val="0"/>
              <w:kinsoku/>
              <w:wordWrap/>
              <w:overflowPunct/>
              <w:topLinePunct w:val="0"/>
              <w:bidi w:val="0"/>
              <w:adjustRightInd w:val="0"/>
              <w:snapToGrid w:val="0"/>
              <w:spacing w:line="560" w:lineRule="exact"/>
              <w:ind w:left="0" w:leftChars="0" w:right="0"/>
              <w:jc w:val="center"/>
              <w:textAlignment w:val="center"/>
              <w:rPr>
                <w:rFonts w:ascii="Times New Roman" w:hAnsi="Times New Roman"/>
                <w:kern w:val="0"/>
                <w:sz w:val="24"/>
              </w:rPr>
            </w:pPr>
          </w:p>
        </w:tc>
        <w:tc>
          <w:tcPr>
            <w:tcW w:w="1755" w:type="pct"/>
            <w:noWrap w:val="0"/>
            <w:vAlign w:val="center"/>
          </w:tcPr>
          <w:p w14:paraId="498784D0">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center"/>
              <w:rPr>
                <w:rFonts w:ascii="Times New Roman" w:hAnsi="Times New Roman"/>
                <w:sz w:val="24"/>
              </w:rPr>
            </w:pPr>
            <w:r>
              <w:rPr>
                <w:rFonts w:ascii="Times New Roman" w:hAnsi="Times New Roman"/>
                <w:kern w:val="0"/>
                <w:sz w:val="24"/>
              </w:rPr>
              <w:t>烟气黑度</w:t>
            </w:r>
          </w:p>
        </w:tc>
        <w:tc>
          <w:tcPr>
            <w:tcW w:w="1306" w:type="pct"/>
            <w:vMerge w:val="continue"/>
            <w:noWrap w:val="0"/>
            <w:vAlign w:val="center"/>
          </w:tcPr>
          <w:p w14:paraId="43F807C2">
            <w:pPr>
              <w:pStyle w:val="8"/>
              <w:keepNext w:val="0"/>
              <w:keepLines w:val="0"/>
              <w:pageBreakBefore w:val="0"/>
              <w:kinsoku/>
              <w:wordWrap/>
              <w:overflowPunct/>
              <w:topLinePunct w:val="0"/>
              <w:bidi w:val="0"/>
              <w:adjustRightInd w:val="0"/>
              <w:snapToGrid w:val="0"/>
              <w:spacing w:after="0" w:line="560" w:lineRule="exact"/>
              <w:ind w:left="0" w:leftChars="0" w:right="0" w:firstLine="0" w:firstLineChars="0"/>
              <w:jc w:val="center"/>
              <w:rPr>
                <w:rFonts w:ascii="Times New Roman" w:hAnsi="Times New Roman"/>
                <w:sz w:val="24"/>
              </w:rPr>
            </w:pPr>
          </w:p>
        </w:tc>
      </w:tr>
    </w:tbl>
    <w:p w14:paraId="53068FA3">
      <w:pPr>
        <w:keepNext w:val="0"/>
        <w:keepLines w:val="0"/>
        <w:pageBreakBefore w:val="0"/>
        <w:kinsoku/>
        <w:wordWrap/>
        <w:overflowPunct/>
        <w:topLinePunct w:val="0"/>
        <w:bidi w:val="0"/>
        <w:spacing w:line="560" w:lineRule="exact"/>
        <w:ind w:left="0" w:leftChars="0" w:right="0" w:firstLine="640" w:firstLineChars="200"/>
        <w:rPr>
          <w:rFonts w:ascii="宋体" w:hAnsi="宋体" w:cs="宋体"/>
          <w:sz w:val="32"/>
          <w:szCs w:val="32"/>
        </w:rPr>
      </w:pPr>
      <w:r>
        <w:rPr>
          <w:rFonts w:hint="eastAsia" w:ascii="宋体" w:hAnsi="宋体" w:cs="宋体"/>
          <w:sz w:val="32"/>
          <w:szCs w:val="32"/>
        </w:rPr>
        <w:t>2、随着业务的新增或者业务调整等情况产生的其它监测工作需求，由生态环境局提出监测计划，乙方按本合同约定的工作程序开展监测，并按时提交监测报告等成果文件。</w:t>
      </w:r>
    </w:p>
    <w:p w14:paraId="2E006B91">
      <w:pPr>
        <w:keepNext w:val="0"/>
        <w:keepLines w:val="0"/>
        <w:pageBreakBefore w:val="0"/>
        <w:kinsoku/>
        <w:wordWrap/>
        <w:overflowPunct/>
        <w:topLinePunct w:val="0"/>
        <w:bidi w:val="0"/>
        <w:spacing w:line="560" w:lineRule="exact"/>
        <w:ind w:left="0" w:leftChars="0" w:right="0" w:firstLine="640" w:firstLineChars="200"/>
        <w:rPr>
          <w:rFonts w:ascii="宋体" w:hAnsi="宋体" w:cs="宋体"/>
          <w:sz w:val="32"/>
          <w:szCs w:val="32"/>
        </w:rPr>
      </w:pPr>
      <w:r>
        <w:rPr>
          <w:rFonts w:hint="eastAsia" w:ascii="宋体" w:hAnsi="宋体" w:cs="宋体"/>
          <w:sz w:val="32"/>
          <w:szCs w:val="32"/>
        </w:rPr>
        <w:t>（四）工作要求</w:t>
      </w:r>
    </w:p>
    <w:p w14:paraId="32E7920B">
      <w:pPr>
        <w:keepNext w:val="0"/>
        <w:keepLines w:val="0"/>
        <w:pageBreakBefore w:val="0"/>
        <w:kinsoku/>
        <w:wordWrap/>
        <w:overflowPunct/>
        <w:topLinePunct w:val="0"/>
        <w:bidi w:val="0"/>
        <w:spacing w:line="560" w:lineRule="exact"/>
        <w:ind w:left="0" w:leftChars="0" w:right="0" w:firstLine="640" w:firstLineChars="200"/>
        <w:rPr>
          <w:rFonts w:ascii="宋体" w:hAnsi="宋体" w:cs="宋体"/>
          <w:sz w:val="32"/>
          <w:szCs w:val="32"/>
        </w:rPr>
      </w:pPr>
      <w:r>
        <w:rPr>
          <w:rFonts w:hint="eastAsia" w:ascii="宋体" w:hAnsi="宋体" w:cs="宋体"/>
          <w:sz w:val="32"/>
          <w:szCs w:val="32"/>
        </w:rPr>
        <w:t>1、乙方必须按照本合同相关内容和每次监测计划，在规定工作程序和工作时限完成每一次监测工作，并对布点采样、保存流转、实验分析、结果评价、技术负责人签字、加盖印章等所有环节的合法性、有效性负责，对监测过程和监测成果存在的质量隐患、质量缺陷负责。</w:t>
      </w:r>
    </w:p>
    <w:p w14:paraId="6C9B6227">
      <w:pPr>
        <w:keepNext w:val="0"/>
        <w:keepLines w:val="0"/>
        <w:pageBreakBefore w:val="0"/>
        <w:kinsoku/>
        <w:wordWrap/>
        <w:overflowPunct/>
        <w:topLinePunct w:val="0"/>
        <w:bidi w:val="0"/>
        <w:spacing w:line="560" w:lineRule="exact"/>
        <w:ind w:left="0" w:leftChars="0" w:right="0" w:firstLine="640" w:firstLineChars="200"/>
        <w:rPr>
          <w:rFonts w:ascii="宋体" w:hAnsi="宋体" w:cs="宋体"/>
          <w:sz w:val="32"/>
          <w:szCs w:val="32"/>
        </w:rPr>
      </w:pPr>
      <w:r>
        <w:rPr>
          <w:rFonts w:hint="eastAsia" w:ascii="宋体" w:hAnsi="宋体" w:cs="宋体"/>
          <w:sz w:val="32"/>
          <w:szCs w:val="32"/>
        </w:rPr>
        <w:t>2、乙方要合理制定监测方案、合理配置技术力量和保障措施，仪器和设备必须符合监测规范规定的精度要求，各环节操作人员必须持合法有效资格证书、按照行业规范进行操作，严格遵守国家政策法规、标准规范以及工作程序和时限要求，并严格把控布点采样、保存、流转、实验分析、结果评价等工作环节的数量、频次和质量，保证符合相关依据和技术标准规范。乙方开展监测工作时必须执行国家、省市关于大气、水、土壤、噪声等最新环境法规政策和技术标准，严禁适用旧标准或者不及时执行最新标准。</w:t>
      </w:r>
    </w:p>
    <w:p w14:paraId="7A6DA3C8">
      <w:pPr>
        <w:keepNext w:val="0"/>
        <w:keepLines w:val="0"/>
        <w:pageBreakBefore w:val="0"/>
        <w:kinsoku/>
        <w:wordWrap/>
        <w:overflowPunct/>
        <w:topLinePunct w:val="0"/>
        <w:bidi w:val="0"/>
        <w:spacing w:line="560" w:lineRule="exact"/>
        <w:ind w:left="0" w:leftChars="0" w:right="0" w:firstLine="640" w:firstLineChars="200"/>
        <w:rPr>
          <w:rFonts w:ascii="宋体" w:hAnsi="宋体" w:cs="宋体"/>
          <w:sz w:val="32"/>
          <w:szCs w:val="32"/>
        </w:rPr>
      </w:pPr>
      <w:r>
        <w:rPr>
          <w:rFonts w:hint="eastAsia" w:ascii="宋体" w:hAnsi="宋体" w:cs="宋体"/>
          <w:sz w:val="32"/>
          <w:szCs w:val="32"/>
        </w:rPr>
        <w:t>3、乙方在完成正式监测报告后，必须于第一时间将报告送达生态环境局环境监测主管人员登记存档。监测报告一正两副（必要时可附采样单、采样照片等）一并提交至生态环境局。生态环境局在运用监测成果开展业务时，检测公司必须提供技术法规和评价结果等解读、运用方面的必要协助和所需资料和信息。</w:t>
      </w:r>
    </w:p>
    <w:p w14:paraId="4E714B83">
      <w:pPr>
        <w:keepNext w:val="0"/>
        <w:keepLines w:val="0"/>
        <w:pageBreakBefore w:val="0"/>
        <w:kinsoku/>
        <w:wordWrap/>
        <w:overflowPunct/>
        <w:topLinePunct w:val="0"/>
        <w:bidi w:val="0"/>
        <w:spacing w:line="560" w:lineRule="exact"/>
        <w:ind w:left="0" w:leftChars="0" w:right="0" w:firstLine="640" w:firstLineChars="200"/>
        <w:rPr>
          <w:rFonts w:ascii="宋体" w:hAnsi="宋体" w:cs="宋体"/>
          <w:sz w:val="32"/>
          <w:szCs w:val="32"/>
        </w:rPr>
      </w:pPr>
      <w:r>
        <w:rPr>
          <w:rFonts w:hint="eastAsia" w:ascii="宋体" w:hAnsi="宋体" w:cs="宋体"/>
          <w:sz w:val="32"/>
          <w:szCs w:val="32"/>
        </w:rPr>
        <w:t>4、检测公司必须严格执行行业规范和行业操守，并独立开展工作，严禁任何无关人员参与本合同所委托的各类监测项目工作。</w:t>
      </w:r>
    </w:p>
    <w:p w14:paraId="0B0B459D">
      <w:pPr>
        <w:keepNext w:val="0"/>
        <w:keepLines w:val="0"/>
        <w:pageBreakBefore w:val="0"/>
        <w:tabs>
          <w:tab w:val="left" w:pos="735"/>
        </w:tabs>
        <w:kinsoku/>
        <w:wordWrap/>
        <w:overflowPunct/>
        <w:topLinePunct w:val="0"/>
        <w:autoSpaceDE w:val="0"/>
        <w:autoSpaceDN w:val="0"/>
        <w:bidi w:val="0"/>
        <w:adjustRightInd w:val="0"/>
        <w:snapToGrid w:val="0"/>
        <w:spacing w:line="560" w:lineRule="exact"/>
        <w:ind w:left="0" w:leftChars="0" w:right="0" w:firstLine="631"/>
        <w:rPr>
          <w:rFonts w:ascii="宋体" w:hAnsi="宋体" w:cs="宋体"/>
          <w:b/>
          <w:sz w:val="32"/>
          <w:szCs w:val="32"/>
        </w:rPr>
      </w:pPr>
      <w:r>
        <w:rPr>
          <w:rFonts w:hint="eastAsia" w:ascii="宋体" w:hAnsi="宋体" w:cs="宋体"/>
          <w:b/>
          <w:sz w:val="32"/>
          <w:szCs w:val="32"/>
        </w:rPr>
        <w:t>五、</w:t>
      </w:r>
      <w:r>
        <w:rPr>
          <w:rFonts w:hint="eastAsia" w:ascii="宋体" w:hAnsi="宋体" w:cs="宋体"/>
          <w:b/>
          <w:bCs/>
          <w:sz w:val="32"/>
          <w:szCs w:val="32"/>
        </w:rPr>
        <w:t>验收评价</w:t>
      </w:r>
    </w:p>
    <w:p w14:paraId="315F9D5B">
      <w:pPr>
        <w:keepNext w:val="0"/>
        <w:keepLines w:val="0"/>
        <w:pageBreakBefore w:val="0"/>
        <w:kinsoku/>
        <w:wordWrap/>
        <w:overflowPunct/>
        <w:topLinePunct w:val="0"/>
        <w:autoSpaceDE w:val="0"/>
        <w:autoSpaceDN w:val="0"/>
        <w:bidi w:val="0"/>
        <w:adjustRightInd w:val="0"/>
        <w:snapToGrid w:val="0"/>
        <w:spacing w:line="560" w:lineRule="exact"/>
        <w:ind w:left="0" w:leftChars="0" w:right="0" w:firstLine="645"/>
        <w:rPr>
          <w:rFonts w:ascii="宋体" w:hAnsi="宋体" w:cs="宋体"/>
          <w:color w:val="000000"/>
          <w:kern w:val="0"/>
          <w:sz w:val="32"/>
          <w:szCs w:val="32"/>
        </w:rPr>
      </w:pPr>
      <w:r>
        <w:rPr>
          <w:rFonts w:hint="eastAsia" w:ascii="宋体" w:hAnsi="宋体" w:cs="宋体"/>
          <w:kern w:val="0"/>
          <w:sz w:val="32"/>
          <w:szCs w:val="32"/>
        </w:rPr>
        <w:t>收到乙方出具的检测报告和监测成果文件后，甲方指定专员按照现行法律法规、国家和地方性标准、本合同约定的相关工作要求、当次项目</w:t>
      </w:r>
      <w:r>
        <w:rPr>
          <w:rFonts w:hint="eastAsia" w:ascii="宋体" w:hAnsi="宋体" w:cs="宋体"/>
          <w:sz w:val="32"/>
          <w:szCs w:val="32"/>
        </w:rPr>
        <w:t>监测</w:t>
      </w:r>
      <w:r>
        <w:rPr>
          <w:rFonts w:hint="eastAsia" w:ascii="宋体" w:hAnsi="宋体" w:cs="宋体"/>
          <w:kern w:val="0"/>
          <w:sz w:val="32"/>
          <w:szCs w:val="32"/>
        </w:rPr>
        <w:t>计划等依据，对</w:t>
      </w:r>
      <w:r>
        <w:rPr>
          <w:rFonts w:hint="eastAsia" w:ascii="宋体" w:hAnsi="宋体" w:cs="宋体"/>
          <w:sz w:val="32"/>
          <w:szCs w:val="32"/>
        </w:rPr>
        <w:t>监测</w:t>
      </w:r>
      <w:r>
        <w:rPr>
          <w:rFonts w:hint="eastAsia" w:ascii="宋体" w:hAnsi="宋体" w:cs="宋体"/>
          <w:kern w:val="0"/>
          <w:sz w:val="32"/>
          <w:szCs w:val="32"/>
        </w:rPr>
        <w:t>报告和监测成果文件进行验收评价。通过甲方专员确认后，当次监测项目验收合格。否则即为不合格。</w:t>
      </w:r>
    </w:p>
    <w:p w14:paraId="2130005E">
      <w:pPr>
        <w:keepNext w:val="0"/>
        <w:keepLines w:val="0"/>
        <w:pageBreakBefore w:val="0"/>
        <w:tabs>
          <w:tab w:val="left" w:pos="735"/>
        </w:tabs>
        <w:kinsoku/>
        <w:wordWrap/>
        <w:overflowPunct/>
        <w:topLinePunct w:val="0"/>
        <w:autoSpaceDE w:val="0"/>
        <w:autoSpaceDN w:val="0"/>
        <w:bidi w:val="0"/>
        <w:adjustRightInd w:val="0"/>
        <w:snapToGrid w:val="0"/>
        <w:spacing w:line="560" w:lineRule="exact"/>
        <w:ind w:left="0" w:leftChars="0" w:right="0" w:firstLine="631"/>
        <w:rPr>
          <w:rFonts w:ascii="宋体" w:hAnsi="宋体" w:cs="宋体"/>
          <w:b/>
          <w:sz w:val="32"/>
          <w:szCs w:val="32"/>
        </w:rPr>
      </w:pPr>
      <w:r>
        <w:rPr>
          <w:rFonts w:hint="eastAsia" w:ascii="宋体" w:hAnsi="宋体" w:cs="宋体"/>
          <w:b/>
          <w:sz w:val="32"/>
          <w:szCs w:val="32"/>
        </w:rPr>
        <w:t>六、</w:t>
      </w:r>
      <w:r>
        <w:rPr>
          <w:rFonts w:hint="eastAsia" w:ascii="宋体" w:hAnsi="宋体" w:cs="宋体"/>
          <w:b/>
          <w:bCs/>
          <w:sz w:val="32"/>
          <w:szCs w:val="32"/>
          <w:lang w:val="zh-CN"/>
        </w:rPr>
        <w:t>甲方权利和义务</w:t>
      </w:r>
    </w:p>
    <w:p w14:paraId="09EC358A">
      <w:pPr>
        <w:keepNext w:val="0"/>
        <w:keepLines w:val="0"/>
        <w:pageBreakBefore w:val="0"/>
        <w:kinsoku/>
        <w:wordWrap/>
        <w:overflowPunct/>
        <w:topLinePunct w:val="0"/>
        <w:autoSpaceDE w:val="0"/>
        <w:autoSpaceDN w:val="0"/>
        <w:bidi w:val="0"/>
        <w:adjustRightInd w:val="0"/>
        <w:snapToGrid w:val="0"/>
        <w:spacing w:line="560" w:lineRule="exact"/>
        <w:ind w:right="0" w:firstLine="640" w:firstLineChars="200"/>
        <w:jc w:val="left"/>
        <w:rPr>
          <w:rFonts w:ascii="宋体" w:hAnsi="宋体" w:cs="宋体"/>
          <w:sz w:val="32"/>
          <w:szCs w:val="32"/>
          <w:lang w:val="zh-CN"/>
        </w:rPr>
      </w:pPr>
      <w:r>
        <w:rPr>
          <w:rFonts w:hint="eastAsia" w:ascii="宋体" w:hAnsi="宋体" w:cs="宋体"/>
          <w:sz w:val="32"/>
          <w:szCs w:val="32"/>
        </w:rPr>
        <w:t>1、</w:t>
      </w:r>
      <w:r>
        <w:rPr>
          <w:rFonts w:hint="eastAsia" w:ascii="宋体" w:hAnsi="宋体" w:cs="宋体"/>
          <w:sz w:val="32"/>
          <w:szCs w:val="32"/>
          <w:lang w:val="zh-CN"/>
        </w:rPr>
        <w:t>负责制定监测计划。</w:t>
      </w:r>
    </w:p>
    <w:p w14:paraId="628874C4">
      <w:pPr>
        <w:keepNext w:val="0"/>
        <w:keepLines w:val="0"/>
        <w:pageBreakBefore w:val="0"/>
        <w:kinsoku/>
        <w:wordWrap/>
        <w:overflowPunct/>
        <w:topLinePunct w:val="0"/>
        <w:bidi w:val="0"/>
        <w:adjustRightInd w:val="0"/>
        <w:snapToGrid w:val="0"/>
        <w:spacing w:line="560" w:lineRule="exact"/>
        <w:ind w:left="0" w:leftChars="0" w:right="0" w:firstLine="645"/>
        <w:jc w:val="left"/>
        <w:rPr>
          <w:rFonts w:ascii="宋体" w:hAnsi="宋体" w:cs="宋体"/>
          <w:sz w:val="32"/>
          <w:szCs w:val="32"/>
          <w:lang w:val="zh-CN"/>
        </w:rPr>
      </w:pPr>
      <w:r>
        <w:rPr>
          <w:rFonts w:hint="eastAsia" w:ascii="宋体" w:hAnsi="宋体" w:cs="宋体"/>
          <w:sz w:val="32"/>
          <w:szCs w:val="32"/>
        </w:rPr>
        <w:t>2、负责</w:t>
      </w:r>
      <w:r>
        <w:rPr>
          <w:rFonts w:hint="eastAsia" w:ascii="宋体" w:hAnsi="宋体" w:cs="宋体"/>
          <w:sz w:val="32"/>
          <w:szCs w:val="32"/>
          <w:lang w:val="zh-CN"/>
        </w:rPr>
        <w:t>业务委托协议的签订、履行和费用结算。</w:t>
      </w:r>
    </w:p>
    <w:p w14:paraId="7578A7F8">
      <w:pPr>
        <w:keepNext w:val="0"/>
        <w:keepLines w:val="0"/>
        <w:pageBreakBefore w:val="0"/>
        <w:kinsoku/>
        <w:wordWrap/>
        <w:overflowPunct/>
        <w:topLinePunct w:val="0"/>
        <w:bidi w:val="0"/>
        <w:adjustRightInd w:val="0"/>
        <w:snapToGrid w:val="0"/>
        <w:spacing w:line="560" w:lineRule="exact"/>
        <w:ind w:left="0" w:leftChars="0" w:right="0" w:firstLine="645"/>
        <w:jc w:val="left"/>
        <w:rPr>
          <w:rFonts w:ascii="宋体" w:hAnsi="宋体" w:cs="宋体"/>
          <w:sz w:val="32"/>
          <w:szCs w:val="32"/>
          <w:lang w:val="zh-CN"/>
        </w:rPr>
      </w:pPr>
      <w:r>
        <w:rPr>
          <w:rFonts w:hint="eastAsia" w:ascii="宋体" w:hAnsi="宋体" w:cs="宋体"/>
          <w:sz w:val="32"/>
          <w:szCs w:val="32"/>
        </w:rPr>
        <w:t>3、</w:t>
      </w:r>
      <w:r>
        <w:rPr>
          <w:rFonts w:hint="eastAsia" w:ascii="宋体" w:hAnsi="宋体" w:cs="宋体"/>
          <w:sz w:val="32"/>
          <w:szCs w:val="32"/>
          <w:lang w:val="zh-CN"/>
        </w:rPr>
        <w:t>甲方有权对乙方提交的服务方案进行审核，并对服务方案提出意见和建议。乙方应当根据甲方的意见和建议对服务方案进行修改，严格按照甲方审核确定的服务方案实施相关服务工作。</w:t>
      </w:r>
    </w:p>
    <w:p w14:paraId="43FF86ED">
      <w:pPr>
        <w:keepNext w:val="0"/>
        <w:keepLines w:val="0"/>
        <w:pageBreakBefore w:val="0"/>
        <w:kinsoku/>
        <w:wordWrap/>
        <w:overflowPunct/>
        <w:topLinePunct w:val="0"/>
        <w:autoSpaceDE w:val="0"/>
        <w:autoSpaceDN w:val="0"/>
        <w:bidi w:val="0"/>
        <w:adjustRightInd w:val="0"/>
        <w:snapToGrid w:val="0"/>
        <w:spacing w:line="560" w:lineRule="exact"/>
        <w:ind w:left="0" w:leftChars="0" w:right="0" w:firstLine="640" w:firstLineChars="200"/>
        <w:jc w:val="left"/>
        <w:rPr>
          <w:rFonts w:ascii="宋体" w:hAnsi="宋体" w:cs="宋体"/>
          <w:sz w:val="32"/>
          <w:szCs w:val="32"/>
          <w:lang w:val="zh-CN"/>
        </w:rPr>
      </w:pPr>
      <w:r>
        <w:rPr>
          <w:rFonts w:hint="eastAsia" w:ascii="宋体" w:hAnsi="宋体" w:cs="宋体"/>
          <w:sz w:val="32"/>
          <w:szCs w:val="32"/>
        </w:rPr>
        <w:t>4、</w:t>
      </w:r>
      <w:r>
        <w:rPr>
          <w:rFonts w:hint="eastAsia" w:ascii="宋体" w:hAnsi="宋体" w:cs="宋体"/>
          <w:sz w:val="32"/>
          <w:szCs w:val="32"/>
          <w:lang w:val="zh-CN"/>
        </w:rPr>
        <w:t>甲方有权对乙方的各项工作进行检查和监督，乙方应按照甲方要求对相关工作进行调整。</w:t>
      </w:r>
    </w:p>
    <w:p w14:paraId="5016875F">
      <w:pPr>
        <w:keepNext w:val="0"/>
        <w:keepLines w:val="0"/>
        <w:pageBreakBefore w:val="0"/>
        <w:kinsoku/>
        <w:wordWrap/>
        <w:overflowPunct/>
        <w:topLinePunct w:val="0"/>
        <w:autoSpaceDE w:val="0"/>
        <w:autoSpaceDN w:val="0"/>
        <w:bidi w:val="0"/>
        <w:adjustRightInd w:val="0"/>
        <w:snapToGrid w:val="0"/>
        <w:spacing w:line="560" w:lineRule="exact"/>
        <w:ind w:left="0" w:leftChars="0" w:right="0" w:firstLine="640" w:firstLineChars="200"/>
        <w:jc w:val="left"/>
        <w:rPr>
          <w:rFonts w:ascii="宋体" w:hAnsi="宋体" w:cs="宋体"/>
          <w:sz w:val="32"/>
          <w:szCs w:val="32"/>
          <w:lang w:val="zh-CN"/>
        </w:rPr>
      </w:pPr>
      <w:r>
        <w:rPr>
          <w:rFonts w:hint="eastAsia" w:ascii="宋体" w:hAnsi="宋体" w:cs="宋体"/>
          <w:sz w:val="32"/>
          <w:szCs w:val="32"/>
        </w:rPr>
        <w:t>5、</w:t>
      </w:r>
      <w:r>
        <w:rPr>
          <w:rFonts w:hint="eastAsia" w:ascii="宋体" w:hAnsi="宋体" w:cs="宋体"/>
          <w:sz w:val="32"/>
          <w:szCs w:val="32"/>
          <w:lang w:val="zh-CN"/>
        </w:rPr>
        <w:t>甲方有权要求乙方对工作相关情况进行说明及合理解释，必要时出具情况说明文件</w:t>
      </w:r>
      <w:r>
        <w:rPr>
          <w:rFonts w:hint="eastAsia" w:ascii="宋体" w:hAnsi="宋体" w:cs="宋体"/>
          <w:sz w:val="32"/>
          <w:szCs w:val="32"/>
        </w:rPr>
        <w:t>(例如提供正规且具有法律效力的分析报告、工作过程相关资料等)</w:t>
      </w:r>
      <w:r>
        <w:rPr>
          <w:rFonts w:hint="eastAsia" w:ascii="宋体" w:hAnsi="宋体" w:cs="宋体"/>
          <w:sz w:val="32"/>
          <w:szCs w:val="32"/>
          <w:lang w:val="zh-CN"/>
        </w:rPr>
        <w:t>，乙方保证其陈述的真实性和客观性。</w:t>
      </w:r>
    </w:p>
    <w:p w14:paraId="0D419E01">
      <w:pPr>
        <w:keepNext w:val="0"/>
        <w:keepLines w:val="0"/>
        <w:pageBreakBefore w:val="0"/>
        <w:kinsoku/>
        <w:wordWrap/>
        <w:overflowPunct/>
        <w:topLinePunct w:val="0"/>
        <w:autoSpaceDE w:val="0"/>
        <w:autoSpaceDN w:val="0"/>
        <w:bidi w:val="0"/>
        <w:adjustRightInd w:val="0"/>
        <w:snapToGrid w:val="0"/>
        <w:spacing w:line="560" w:lineRule="exact"/>
        <w:ind w:left="0" w:leftChars="0" w:right="0" w:firstLine="640" w:firstLineChars="200"/>
        <w:jc w:val="left"/>
        <w:rPr>
          <w:rFonts w:ascii="宋体" w:hAnsi="宋体" w:cs="宋体"/>
          <w:sz w:val="32"/>
          <w:szCs w:val="32"/>
          <w:lang w:val="zh-CN"/>
        </w:rPr>
      </w:pPr>
      <w:r>
        <w:rPr>
          <w:rFonts w:hint="eastAsia" w:ascii="宋体" w:hAnsi="宋体" w:cs="宋体"/>
          <w:sz w:val="32"/>
          <w:szCs w:val="32"/>
        </w:rPr>
        <w:t>6、</w:t>
      </w:r>
      <w:r>
        <w:rPr>
          <w:rFonts w:hint="eastAsia" w:ascii="宋体" w:hAnsi="宋体" w:cs="宋体"/>
          <w:sz w:val="32"/>
          <w:szCs w:val="32"/>
          <w:lang w:val="zh-CN"/>
        </w:rPr>
        <w:t>甲方有权对乙方的工作成果进行验收检验，工作成果未通过甲方验收的，乙方应当按照甲方要求进行整改。</w:t>
      </w:r>
    </w:p>
    <w:p w14:paraId="34E21729">
      <w:pPr>
        <w:keepNext w:val="0"/>
        <w:keepLines w:val="0"/>
        <w:pageBreakBefore w:val="0"/>
        <w:kinsoku/>
        <w:wordWrap/>
        <w:overflowPunct/>
        <w:topLinePunct w:val="0"/>
        <w:autoSpaceDE w:val="0"/>
        <w:autoSpaceDN w:val="0"/>
        <w:bidi w:val="0"/>
        <w:adjustRightInd w:val="0"/>
        <w:snapToGrid w:val="0"/>
        <w:spacing w:line="560" w:lineRule="exact"/>
        <w:ind w:left="0" w:leftChars="0" w:right="0" w:firstLine="640" w:firstLineChars="200"/>
        <w:jc w:val="left"/>
        <w:rPr>
          <w:rFonts w:ascii="宋体" w:hAnsi="宋体" w:cs="宋体"/>
          <w:sz w:val="32"/>
          <w:szCs w:val="32"/>
          <w:lang w:val="zh-CN"/>
        </w:rPr>
      </w:pPr>
      <w:r>
        <w:rPr>
          <w:rFonts w:hint="eastAsia" w:ascii="宋体" w:hAnsi="宋体" w:cs="宋体"/>
          <w:sz w:val="32"/>
          <w:szCs w:val="32"/>
        </w:rPr>
        <w:t>7、</w:t>
      </w:r>
      <w:r>
        <w:rPr>
          <w:rFonts w:hint="eastAsia" w:ascii="宋体" w:hAnsi="宋体" w:cs="宋体"/>
          <w:sz w:val="32"/>
          <w:szCs w:val="32"/>
          <w:lang w:val="zh-CN"/>
        </w:rPr>
        <w:t>甲方应当按照本合同约定向乙方支付合同款项。</w:t>
      </w:r>
    </w:p>
    <w:p w14:paraId="31FFFED7">
      <w:pPr>
        <w:keepNext w:val="0"/>
        <w:keepLines w:val="0"/>
        <w:pageBreakBefore w:val="0"/>
        <w:kinsoku/>
        <w:wordWrap/>
        <w:overflowPunct/>
        <w:topLinePunct w:val="0"/>
        <w:bidi w:val="0"/>
        <w:adjustRightInd w:val="0"/>
        <w:snapToGrid w:val="0"/>
        <w:spacing w:line="560" w:lineRule="exact"/>
        <w:ind w:left="0" w:leftChars="0" w:right="0" w:firstLine="645"/>
        <w:rPr>
          <w:rFonts w:ascii="宋体" w:hAnsi="宋体" w:cs="宋体"/>
          <w:b/>
          <w:bCs/>
          <w:sz w:val="32"/>
          <w:szCs w:val="32"/>
        </w:rPr>
      </w:pPr>
      <w:r>
        <w:rPr>
          <w:rFonts w:hint="eastAsia" w:ascii="宋体" w:hAnsi="宋体" w:cs="宋体"/>
          <w:b/>
          <w:sz w:val="32"/>
          <w:szCs w:val="32"/>
        </w:rPr>
        <w:t>七、</w:t>
      </w:r>
      <w:r>
        <w:rPr>
          <w:rFonts w:hint="eastAsia" w:ascii="宋体" w:hAnsi="宋体" w:cs="宋体"/>
          <w:b/>
          <w:bCs/>
          <w:sz w:val="32"/>
          <w:szCs w:val="32"/>
        </w:rPr>
        <w:t>乙</w:t>
      </w:r>
      <w:r>
        <w:rPr>
          <w:rFonts w:hint="eastAsia" w:ascii="宋体" w:hAnsi="宋体" w:cs="宋体"/>
          <w:b/>
          <w:bCs/>
          <w:sz w:val="32"/>
          <w:szCs w:val="32"/>
          <w:lang w:val="zh-CN"/>
        </w:rPr>
        <w:t>方的</w:t>
      </w:r>
      <w:r>
        <w:rPr>
          <w:rFonts w:hint="eastAsia" w:ascii="宋体" w:hAnsi="宋体" w:cs="宋体"/>
          <w:b/>
          <w:bCs/>
          <w:sz w:val="32"/>
          <w:szCs w:val="32"/>
        </w:rPr>
        <w:t>权利义务</w:t>
      </w:r>
    </w:p>
    <w:p w14:paraId="5BF5347C">
      <w:pPr>
        <w:keepNext w:val="0"/>
        <w:keepLines w:val="0"/>
        <w:pageBreakBefore w:val="0"/>
        <w:kinsoku/>
        <w:wordWrap/>
        <w:overflowPunct/>
        <w:topLinePunct w:val="0"/>
        <w:bidi w:val="0"/>
        <w:spacing w:line="560" w:lineRule="exact"/>
        <w:ind w:left="0" w:leftChars="0" w:right="0" w:firstLine="560"/>
        <w:rPr>
          <w:rFonts w:ascii="宋体" w:hAnsi="宋体" w:cs="宋体"/>
          <w:kern w:val="0"/>
          <w:sz w:val="32"/>
          <w:szCs w:val="32"/>
        </w:rPr>
      </w:pPr>
      <w:r>
        <w:rPr>
          <w:rFonts w:hint="eastAsia" w:ascii="宋体" w:hAnsi="宋体" w:cs="宋体"/>
          <w:sz w:val="32"/>
          <w:szCs w:val="32"/>
        </w:rPr>
        <w:t>1、乙方应当自接到甲方口头、电话或书面提出监测计划后，不晚于次日即开展工作，甲方向乙方联系人或负责人下达监督性监测计划后，乙方最晚于采样后10个工作日内完成检测并向甲方送达项目检测报</w:t>
      </w:r>
      <w:r>
        <w:rPr>
          <w:rFonts w:hint="eastAsia" w:ascii="宋体" w:hAnsi="宋体" w:cs="宋体"/>
          <w:kern w:val="0"/>
          <w:sz w:val="32"/>
          <w:szCs w:val="32"/>
        </w:rPr>
        <w:t>告。</w:t>
      </w:r>
    </w:p>
    <w:p w14:paraId="42C46B49">
      <w:pPr>
        <w:keepNext w:val="0"/>
        <w:keepLines w:val="0"/>
        <w:pageBreakBefore w:val="0"/>
        <w:kinsoku/>
        <w:wordWrap/>
        <w:overflowPunct/>
        <w:topLinePunct w:val="0"/>
        <w:bidi w:val="0"/>
        <w:spacing w:line="560" w:lineRule="exact"/>
        <w:ind w:left="0" w:leftChars="0" w:right="0" w:firstLine="560"/>
        <w:rPr>
          <w:rFonts w:ascii="宋体" w:hAnsi="宋体" w:cs="宋体"/>
          <w:kern w:val="0"/>
          <w:sz w:val="32"/>
          <w:szCs w:val="32"/>
        </w:rPr>
      </w:pPr>
      <w:r>
        <w:rPr>
          <w:rFonts w:hint="eastAsia" w:ascii="宋体" w:hAnsi="宋体" w:cs="宋体"/>
          <w:kern w:val="0"/>
          <w:sz w:val="32"/>
          <w:szCs w:val="32"/>
        </w:rPr>
        <w:t>2、乙方有权向甲方申请开展工作提供必要的便利和协助，申请时乙方应阐明申请协助的理由。</w:t>
      </w:r>
    </w:p>
    <w:p w14:paraId="17E82008">
      <w:pPr>
        <w:keepNext w:val="0"/>
        <w:keepLines w:val="0"/>
        <w:pageBreakBefore w:val="0"/>
        <w:kinsoku/>
        <w:wordWrap/>
        <w:overflowPunct/>
        <w:topLinePunct w:val="0"/>
        <w:bidi w:val="0"/>
        <w:spacing w:line="560" w:lineRule="exact"/>
        <w:ind w:left="0" w:leftChars="0" w:right="0" w:firstLine="560"/>
        <w:rPr>
          <w:rFonts w:ascii="宋体" w:hAnsi="宋体" w:cs="宋体"/>
          <w:kern w:val="0"/>
          <w:sz w:val="32"/>
          <w:szCs w:val="32"/>
        </w:rPr>
      </w:pPr>
      <w:r>
        <w:rPr>
          <w:rFonts w:hint="eastAsia" w:ascii="宋体" w:hAnsi="宋体" w:cs="宋体"/>
          <w:kern w:val="0"/>
          <w:sz w:val="32"/>
          <w:szCs w:val="32"/>
        </w:rPr>
        <w:t>3、乙方应当自觉接受甲方对各项工作的监督和监督，按照甲方意见和建议认真开展工作。</w:t>
      </w:r>
    </w:p>
    <w:p w14:paraId="34878818">
      <w:pPr>
        <w:keepNext w:val="0"/>
        <w:keepLines w:val="0"/>
        <w:pageBreakBefore w:val="0"/>
        <w:kinsoku/>
        <w:wordWrap/>
        <w:overflowPunct/>
        <w:topLinePunct w:val="0"/>
        <w:bidi w:val="0"/>
        <w:spacing w:line="560" w:lineRule="exact"/>
        <w:ind w:left="0" w:leftChars="0" w:right="0" w:firstLine="560"/>
        <w:rPr>
          <w:rFonts w:ascii="宋体" w:hAnsi="宋体" w:cs="宋体"/>
          <w:kern w:val="0"/>
          <w:sz w:val="32"/>
          <w:szCs w:val="32"/>
        </w:rPr>
      </w:pPr>
      <w:r>
        <w:rPr>
          <w:rFonts w:hint="eastAsia" w:ascii="宋体" w:hAnsi="宋体" w:cs="宋体"/>
          <w:kern w:val="0"/>
          <w:sz w:val="32"/>
          <w:szCs w:val="32"/>
        </w:rPr>
        <w:t>4、乙方自行承担工作开展中的安全生产责任，对其工作人员的人身安全自行负责，对工作中造成人身、财产损失的，乙方应当自行承担相应责任。</w:t>
      </w:r>
    </w:p>
    <w:p w14:paraId="1A4AF1E5">
      <w:pPr>
        <w:keepNext w:val="0"/>
        <w:keepLines w:val="0"/>
        <w:pageBreakBefore w:val="0"/>
        <w:kinsoku/>
        <w:wordWrap/>
        <w:overflowPunct/>
        <w:topLinePunct w:val="0"/>
        <w:bidi w:val="0"/>
        <w:spacing w:line="560" w:lineRule="exact"/>
        <w:ind w:left="0" w:leftChars="0" w:right="0" w:firstLine="560"/>
        <w:rPr>
          <w:rFonts w:ascii="宋体" w:hAnsi="宋体" w:cs="宋体"/>
          <w:kern w:val="0"/>
          <w:sz w:val="32"/>
          <w:szCs w:val="32"/>
        </w:rPr>
      </w:pPr>
      <w:r>
        <w:rPr>
          <w:rFonts w:hint="eastAsia" w:ascii="宋体" w:hAnsi="宋体" w:cs="宋体"/>
          <w:kern w:val="0"/>
          <w:sz w:val="32"/>
          <w:szCs w:val="32"/>
        </w:rPr>
        <w:t>5、乙方应当严格按照合同内容、监测方案、及其它相关文件所载内容进行监测，并提供工作所需的全部人员、物料和设备。</w:t>
      </w:r>
    </w:p>
    <w:p w14:paraId="2C1C81E8">
      <w:pPr>
        <w:keepNext w:val="0"/>
        <w:keepLines w:val="0"/>
        <w:pageBreakBefore w:val="0"/>
        <w:kinsoku/>
        <w:wordWrap/>
        <w:overflowPunct/>
        <w:topLinePunct w:val="0"/>
        <w:bidi w:val="0"/>
        <w:adjustRightInd w:val="0"/>
        <w:snapToGrid w:val="0"/>
        <w:spacing w:line="560" w:lineRule="exact"/>
        <w:ind w:left="0" w:leftChars="0" w:right="0" w:firstLine="640" w:firstLineChars="200"/>
        <w:rPr>
          <w:rFonts w:ascii="宋体" w:hAnsi="宋体" w:cs="宋体"/>
          <w:sz w:val="32"/>
          <w:szCs w:val="32"/>
          <w:lang w:val="zh-CN"/>
        </w:rPr>
      </w:pPr>
      <w:r>
        <w:rPr>
          <w:rFonts w:hint="eastAsia" w:ascii="宋体" w:hAnsi="宋体" w:cs="宋体"/>
          <w:sz w:val="32"/>
          <w:szCs w:val="32"/>
          <w:lang w:val="en-US" w:eastAsia="zh-CN"/>
        </w:rPr>
        <w:t>6</w:t>
      </w:r>
      <w:r>
        <w:rPr>
          <w:rFonts w:hint="eastAsia" w:ascii="宋体" w:hAnsi="宋体" w:cs="宋体"/>
          <w:sz w:val="32"/>
          <w:szCs w:val="32"/>
          <w:lang w:val="zh-CN"/>
        </w:rPr>
        <w:t>、乙方应当履行本合同约定的各项义务，因乙方的过失造成的经济损失，应当向甲方进行赔偿。</w:t>
      </w:r>
    </w:p>
    <w:p w14:paraId="3AB2A0C9">
      <w:pPr>
        <w:keepNext w:val="0"/>
        <w:keepLines w:val="0"/>
        <w:pageBreakBefore w:val="0"/>
        <w:kinsoku/>
        <w:wordWrap/>
        <w:overflowPunct/>
        <w:topLinePunct w:val="0"/>
        <w:bidi w:val="0"/>
        <w:adjustRightInd w:val="0"/>
        <w:snapToGrid w:val="0"/>
        <w:spacing w:line="560" w:lineRule="exact"/>
        <w:ind w:left="0" w:leftChars="0" w:right="0" w:firstLine="640" w:firstLineChars="200"/>
        <w:rPr>
          <w:rFonts w:ascii="宋体" w:hAnsi="宋体" w:cs="宋体"/>
          <w:sz w:val="32"/>
          <w:szCs w:val="32"/>
          <w:lang w:val="zh-CN"/>
        </w:rPr>
      </w:pPr>
      <w:r>
        <w:rPr>
          <w:rFonts w:hint="eastAsia" w:ascii="宋体" w:hAnsi="宋体" w:cs="宋体"/>
          <w:sz w:val="32"/>
          <w:szCs w:val="32"/>
          <w:lang w:val="en-US" w:eastAsia="zh-CN"/>
        </w:rPr>
        <w:t>7</w:t>
      </w:r>
      <w:r>
        <w:rPr>
          <w:rFonts w:hint="eastAsia" w:ascii="宋体" w:hAnsi="宋体" w:cs="宋体"/>
          <w:sz w:val="32"/>
          <w:szCs w:val="32"/>
          <w:lang w:val="zh-CN"/>
        </w:rPr>
        <w:t>、乙方对甲方所提出的问题不能及时核对或答复，导致合同不能全部或部分履行、导致甲方工作开展遇到障碍的，乙方应承担责任。</w:t>
      </w:r>
    </w:p>
    <w:p w14:paraId="5267140D">
      <w:pPr>
        <w:keepNext w:val="0"/>
        <w:keepLines w:val="0"/>
        <w:pageBreakBefore w:val="0"/>
        <w:kinsoku/>
        <w:wordWrap/>
        <w:overflowPunct/>
        <w:topLinePunct w:val="0"/>
        <w:bidi w:val="0"/>
        <w:adjustRightInd w:val="0"/>
        <w:snapToGrid w:val="0"/>
        <w:spacing w:line="560" w:lineRule="exact"/>
        <w:ind w:left="0" w:leftChars="0" w:right="0" w:firstLine="640" w:firstLineChars="200"/>
        <w:rPr>
          <w:rFonts w:ascii="宋体" w:hAnsi="宋体" w:cs="宋体"/>
          <w:sz w:val="32"/>
          <w:szCs w:val="32"/>
          <w:lang w:val="zh-CN"/>
        </w:rPr>
      </w:pPr>
      <w:r>
        <w:rPr>
          <w:rFonts w:hint="eastAsia" w:ascii="宋体" w:hAnsi="宋体" w:cs="宋体"/>
          <w:sz w:val="32"/>
          <w:szCs w:val="32"/>
          <w:lang w:val="en-US" w:eastAsia="zh-CN"/>
        </w:rPr>
        <w:t>8</w:t>
      </w:r>
      <w:r>
        <w:rPr>
          <w:rFonts w:hint="eastAsia" w:ascii="宋体" w:hAnsi="宋体" w:cs="宋体"/>
          <w:sz w:val="32"/>
          <w:szCs w:val="32"/>
        </w:rPr>
        <w:t>、乙方对甲方提出的监测业务知识及操作技术等需求，提供不少于4次/年的免费培训或配合指导服务。</w:t>
      </w:r>
    </w:p>
    <w:p w14:paraId="6F22A8C6">
      <w:pPr>
        <w:keepNext w:val="0"/>
        <w:keepLines w:val="0"/>
        <w:pageBreakBefore w:val="0"/>
        <w:kinsoku/>
        <w:wordWrap/>
        <w:overflowPunct/>
        <w:topLinePunct w:val="0"/>
        <w:bidi w:val="0"/>
        <w:adjustRightInd w:val="0"/>
        <w:snapToGrid w:val="0"/>
        <w:spacing w:line="560" w:lineRule="exact"/>
        <w:ind w:left="0" w:leftChars="0" w:right="0" w:firstLine="640" w:firstLineChars="200"/>
        <w:rPr>
          <w:rFonts w:ascii="宋体" w:hAnsi="宋体" w:cs="宋体"/>
          <w:sz w:val="32"/>
          <w:szCs w:val="32"/>
        </w:rPr>
      </w:pPr>
      <w:r>
        <w:rPr>
          <w:rFonts w:hint="eastAsia" w:ascii="宋体" w:hAnsi="宋体" w:cs="宋体"/>
          <w:sz w:val="32"/>
          <w:szCs w:val="32"/>
          <w:lang w:val="en-US" w:eastAsia="zh-CN"/>
        </w:rPr>
        <w:t>9</w:t>
      </w:r>
      <w:r>
        <w:rPr>
          <w:rFonts w:hint="eastAsia" w:ascii="宋体" w:hAnsi="宋体" w:cs="宋体"/>
          <w:sz w:val="32"/>
          <w:szCs w:val="32"/>
          <w:lang w:val="zh-CN"/>
        </w:rPr>
        <w:t>、</w:t>
      </w:r>
      <w:r>
        <w:rPr>
          <w:rFonts w:hint="eastAsia" w:ascii="宋体" w:hAnsi="宋体" w:cs="宋体"/>
          <w:sz w:val="32"/>
          <w:szCs w:val="32"/>
        </w:rPr>
        <w:t>乙方所出具的监测报告、成果文件、证明文件等应保证数据真实、结论可信。</w:t>
      </w:r>
    </w:p>
    <w:p w14:paraId="2486DECC">
      <w:pPr>
        <w:keepNext w:val="0"/>
        <w:keepLines w:val="0"/>
        <w:pageBreakBefore w:val="0"/>
        <w:kinsoku/>
        <w:wordWrap/>
        <w:overflowPunct/>
        <w:topLinePunct w:val="0"/>
        <w:bidi w:val="0"/>
        <w:adjustRightInd w:val="0"/>
        <w:snapToGrid w:val="0"/>
        <w:spacing w:line="560" w:lineRule="exact"/>
        <w:ind w:left="0" w:leftChars="0" w:right="0" w:firstLine="640" w:firstLineChars="200"/>
        <w:rPr>
          <w:rFonts w:ascii="宋体" w:hAnsi="宋体" w:cs="宋体"/>
          <w:sz w:val="32"/>
          <w:szCs w:val="32"/>
          <w:lang w:val="zh-CN"/>
        </w:rPr>
      </w:pPr>
      <w:r>
        <w:rPr>
          <w:rFonts w:hint="eastAsia" w:ascii="宋体" w:hAnsi="宋体" w:cs="宋体"/>
          <w:sz w:val="32"/>
          <w:szCs w:val="32"/>
          <w:lang w:val="en-US" w:eastAsia="zh-CN"/>
        </w:rPr>
        <w:t>10</w:t>
      </w:r>
      <w:r>
        <w:rPr>
          <w:rFonts w:hint="eastAsia" w:ascii="宋体" w:hAnsi="宋体" w:cs="宋体"/>
          <w:sz w:val="32"/>
          <w:szCs w:val="32"/>
        </w:rPr>
        <w:t>、</w:t>
      </w:r>
      <w:r>
        <w:rPr>
          <w:rFonts w:hint="eastAsia" w:ascii="宋体" w:hAnsi="宋体" w:cs="宋体"/>
          <w:sz w:val="32"/>
          <w:szCs w:val="32"/>
          <w:lang w:val="zh-CN"/>
        </w:rPr>
        <w:t>乙方向甲方提出赔偿要求不能成立时，则应补偿由于该赔偿或其他要求所导致甲方的各种费用的支出。</w:t>
      </w:r>
    </w:p>
    <w:p w14:paraId="55667E21">
      <w:pPr>
        <w:keepNext w:val="0"/>
        <w:keepLines w:val="0"/>
        <w:pageBreakBefore w:val="0"/>
        <w:kinsoku/>
        <w:wordWrap/>
        <w:overflowPunct/>
        <w:topLinePunct w:val="0"/>
        <w:bidi w:val="0"/>
        <w:adjustRightInd w:val="0"/>
        <w:snapToGrid w:val="0"/>
        <w:spacing w:line="560" w:lineRule="exact"/>
        <w:ind w:left="0" w:leftChars="0" w:right="0"/>
        <w:rPr>
          <w:rFonts w:ascii="宋体" w:hAnsi="宋体" w:cs="宋体"/>
          <w:b/>
          <w:sz w:val="32"/>
          <w:szCs w:val="32"/>
        </w:rPr>
      </w:pPr>
      <w:r>
        <w:rPr>
          <w:rFonts w:hint="eastAsia" w:ascii="宋体" w:hAnsi="宋体" w:cs="宋体"/>
          <w:b/>
          <w:sz w:val="32"/>
          <w:szCs w:val="32"/>
          <w:lang w:eastAsia="zh-CN"/>
        </w:rPr>
        <w:t>八</w:t>
      </w:r>
      <w:r>
        <w:rPr>
          <w:rFonts w:hint="eastAsia" w:ascii="宋体" w:hAnsi="宋体" w:cs="宋体"/>
          <w:b/>
          <w:sz w:val="32"/>
          <w:szCs w:val="32"/>
        </w:rPr>
        <w:t>、违约责任</w:t>
      </w:r>
    </w:p>
    <w:p w14:paraId="715672B1">
      <w:pPr>
        <w:keepNext w:val="0"/>
        <w:keepLines w:val="0"/>
        <w:pageBreakBefore w:val="0"/>
        <w:kinsoku/>
        <w:wordWrap/>
        <w:overflowPunct/>
        <w:topLinePunct w:val="0"/>
        <w:bidi w:val="0"/>
        <w:spacing w:line="560" w:lineRule="exact"/>
        <w:ind w:left="0" w:leftChars="0" w:right="0" w:firstLine="560"/>
        <w:rPr>
          <w:rFonts w:ascii="宋体" w:hAnsi="宋体" w:cs="宋体"/>
          <w:kern w:val="0"/>
          <w:sz w:val="32"/>
          <w:szCs w:val="32"/>
        </w:rPr>
      </w:pPr>
      <w:r>
        <w:rPr>
          <w:rFonts w:hint="eastAsia" w:ascii="宋体" w:hAnsi="宋体" w:cs="宋体"/>
          <w:kern w:val="0"/>
          <w:sz w:val="32"/>
          <w:szCs w:val="32"/>
          <w:lang w:val="en-US" w:eastAsia="zh-CN"/>
        </w:rPr>
        <w:t>1</w:t>
      </w:r>
      <w:r>
        <w:rPr>
          <w:rFonts w:hint="eastAsia" w:ascii="宋体" w:hAnsi="宋体" w:cs="宋体"/>
          <w:kern w:val="0"/>
          <w:sz w:val="32"/>
          <w:szCs w:val="32"/>
        </w:rPr>
        <w:t>、如乙方未按照合同约定、监测方案、磋商文件和响应文件等提供本项目施工所需物料、人员和设备的，经整改后仍不符合甲方要求的，甲方有权与乙方解除本合同，且乙方应当向甲方支付合同总价款20%的违约金。</w:t>
      </w:r>
    </w:p>
    <w:p w14:paraId="44942776">
      <w:pPr>
        <w:keepNext w:val="0"/>
        <w:keepLines w:val="0"/>
        <w:pageBreakBefore w:val="0"/>
        <w:kinsoku/>
        <w:wordWrap/>
        <w:overflowPunct/>
        <w:topLinePunct w:val="0"/>
        <w:bidi w:val="0"/>
        <w:spacing w:line="560" w:lineRule="exact"/>
        <w:ind w:left="0" w:leftChars="0" w:right="0" w:firstLine="560"/>
        <w:rPr>
          <w:rFonts w:ascii="宋体" w:hAnsi="宋体" w:cs="宋体"/>
          <w:kern w:val="0"/>
          <w:sz w:val="32"/>
          <w:szCs w:val="32"/>
        </w:rPr>
      </w:pPr>
      <w:r>
        <w:rPr>
          <w:rFonts w:hint="eastAsia" w:ascii="宋体" w:hAnsi="宋体" w:cs="宋体"/>
          <w:kern w:val="0"/>
          <w:sz w:val="32"/>
          <w:szCs w:val="32"/>
          <w:lang w:val="en-US" w:eastAsia="zh-CN"/>
        </w:rPr>
        <w:t>2</w:t>
      </w:r>
      <w:r>
        <w:rPr>
          <w:rFonts w:hint="eastAsia" w:ascii="宋体" w:hAnsi="宋体" w:cs="宋体"/>
          <w:kern w:val="0"/>
          <w:sz w:val="32"/>
          <w:szCs w:val="32"/>
        </w:rPr>
        <w:t>、如乙方未按照合同约定、监测方案、磋商文件和响应文件等实施监测和出具</w:t>
      </w:r>
      <w:r>
        <w:rPr>
          <w:rFonts w:hint="eastAsia" w:ascii="宋体" w:hAnsi="宋体" w:cs="宋体"/>
          <w:sz w:val="32"/>
          <w:szCs w:val="32"/>
        </w:rPr>
        <w:t>监测</w:t>
      </w:r>
      <w:r>
        <w:rPr>
          <w:rFonts w:hint="eastAsia" w:ascii="宋体" w:hAnsi="宋体" w:cs="宋体"/>
          <w:kern w:val="0"/>
          <w:sz w:val="32"/>
          <w:szCs w:val="32"/>
        </w:rPr>
        <w:t>报告的，经整改后仍不符合甲方要求的，甲方有权与乙方解除本合同，且乙方应当向甲方支付合同总价款20%的违约金。</w:t>
      </w:r>
    </w:p>
    <w:p w14:paraId="5E9951AB">
      <w:pPr>
        <w:keepNext w:val="0"/>
        <w:keepLines w:val="0"/>
        <w:pageBreakBefore w:val="0"/>
        <w:kinsoku/>
        <w:wordWrap/>
        <w:overflowPunct/>
        <w:topLinePunct w:val="0"/>
        <w:bidi w:val="0"/>
        <w:spacing w:line="560" w:lineRule="exact"/>
        <w:ind w:left="0" w:leftChars="0" w:right="0" w:firstLine="560"/>
        <w:rPr>
          <w:rFonts w:ascii="宋体" w:hAnsi="宋体" w:cs="宋体"/>
          <w:kern w:val="0"/>
          <w:sz w:val="32"/>
          <w:szCs w:val="32"/>
        </w:rPr>
      </w:pPr>
      <w:r>
        <w:rPr>
          <w:rFonts w:hint="eastAsia" w:ascii="宋体" w:hAnsi="宋体" w:cs="宋体"/>
          <w:kern w:val="0"/>
          <w:sz w:val="32"/>
          <w:szCs w:val="32"/>
          <w:lang w:val="en-US" w:eastAsia="zh-CN"/>
        </w:rPr>
        <w:t>3</w:t>
      </w:r>
      <w:r>
        <w:rPr>
          <w:rFonts w:hint="eastAsia" w:ascii="宋体" w:hAnsi="宋体" w:cs="宋体"/>
          <w:kern w:val="0"/>
          <w:sz w:val="32"/>
          <w:szCs w:val="32"/>
        </w:rPr>
        <w:t>、每个项目监测服务工作完成后，乙方工作成果经甲方验收检验未通过的，则按照以下方式处理：</w:t>
      </w:r>
    </w:p>
    <w:p w14:paraId="2712B206">
      <w:pPr>
        <w:keepNext w:val="0"/>
        <w:keepLines w:val="0"/>
        <w:pageBreakBefore w:val="0"/>
        <w:kinsoku/>
        <w:wordWrap/>
        <w:overflowPunct/>
        <w:topLinePunct w:val="0"/>
        <w:bidi w:val="0"/>
        <w:spacing w:line="560" w:lineRule="exact"/>
        <w:ind w:left="0" w:leftChars="0" w:right="0" w:firstLine="560"/>
        <w:rPr>
          <w:rFonts w:ascii="宋体" w:hAnsi="宋体" w:cs="宋体"/>
          <w:bCs/>
          <w:sz w:val="32"/>
          <w:szCs w:val="32"/>
        </w:rPr>
      </w:pPr>
      <w:r>
        <w:rPr>
          <w:rFonts w:hint="eastAsia" w:ascii="宋体" w:hAnsi="宋体" w:cs="宋体"/>
          <w:bCs/>
          <w:sz w:val="32"/>
          <w:szCs w:val="32"/>
        </w:rPr>
        <w:t>甲方每月末对当月收到的所有</w:t>
      </w:r>
      <w:r>
        <w:rPr>
          <w:rFonts w:hint="eastAsia" w:ascii="宋体" w:hAnsi="宋体" w:cs="宋体"/>
          <w:sz w:val="32"/>
          <w:szCs w:val="32"/>
        </w:rPr>
        <w:t>监测</w:t>
      </w:r>
      <w:r>
        <w:rPr>
          <w:rFonts w:hint="eastAsia" w:ascii="宋体" w:hAnsi="宋体" w:cs="宋体"/>
          <w:bCs/>
          <w:sz w:val="32"/>
          <w:szCs w:val="32"/>
        </w:rPr>
        <w:t>报告进行清点审核时，如发现当月未通过验收的项目数量（或检测报告数量）大于等于当月由乙方实施监测的项目总数量（或检测报告总数量）的20%时，</w:t>
      </w:r>
      <w:r>
        <w:rPr>
          <w:rFonts w:hint="eastAsia" w:ascii="宋体" w:hAnsi="宋体" w:cs="宋体"/>
          <w:kern w:val="0"/>
          <w:sz w:val="32"/>
          <w:szCs w:val="32"/>
        </w:rPr>
        <w:t>甲方有权与乙</w:t>
      </w:r>
      <w:r>
        <w:rPr>
          <w:rFonts w:hint="eastAsia" w:ascii="宋体" w:hAnsi="宋体" w:cs="宋体"/>
          <w:bCs/>
          <w:sz w:val="32"/>
          <w:szCs w:val="32"/>
        </w:rPr>
        <w:t>方解除本合同、并拒付此前应付而未付的所有款项。</w:t>
      </w:r>
    </w:p>
    <w:p w14:paraId="47A7BB81">
      <w:pPr>
        <w:keepNext w:val="0"/>
        <w:keepLines w:val="0"/>
        <w:pageBreakBefore w:val="0"/>
        <w:kinsoku/>
        <w:wordWrap/>
        <w:overflowPunct/>
        <w:topLinePunct w:val="0"/>
        <w:bidi w:val="0"/>
        <w:spacing w:line="560" w:lineRule="exact"/>
        <w:ind w:left="0" w:leftChars="0" w:right="0" w:firstLine="560"/>
        <w:rPr>
          <w:rFonts w:ascii="宋体" w:hAnsi="宋体" w:cs="宋体"/>
          <w:kern w:val="0"/>
          <w:sz w:val="32"/>
          <w:szCs w:val="32"/>
        </w:rPr>
      </w:pPr>
      <w:r>
        <w:rPr>
          <w:rFonts w:hint="eastAsia" w:ascii="宋体" w:hAnsi="宋体" w:cs="宋体"/>
          <w:bCs/>
          <w:sz w:val="32"/>
          <w:szCs w:val="32"/>
          <w:lang w:val="zh-CN"/>
        </w:rPr>
        <w:t>乙方拒绝甲方</w:t>
      </w:r>
      <w:r>
        <w:rPr>
          <w:rFonts w:hint="eastAsia" w:ascii="宋体" w:hAnsi="宋体" w:cs="宋体"/>
          <w:bCs/>
          <w:sz w:val="32"/>
          <w:szCs w:val="32"/>
        </w:rPr>
        <w:t>合理</w:t>
      </w:r>
      <w:r>
        <w:rPr>
          <w:rFonts w:hint="eastAsia" w:ascii="宋体" w:hAnsi="宋体" w:cs="宋体"/>
          <w:bCs/>
          <w:sz w:val="32"/>
          <w:szCs w:val="32"/>
          <w:lang w:val="zh-CN"/>
        </w:rPr>
        <w:t>整改要求的次数大于等于</w:t>
      </w:r>
      <w:r>
        <w:rPr>
          <w:rFonts w:hint="eastAsia" w:ascii="宋体" w:hAnsi="宋体" w:cs="宋体"/>
          <w:bCs/>
          <w:sz w:val="32"/>
          <w:szCs w:val="32"/>
        </w:rPr>
        <w:t>2次，或者当月因乙方原因</w:t>
      </w:r>
      <w:r>
        <w:rPr>
          <w:rFonts w:hint="eastAsia" w:ascii="宋体" w:hAnsi="宋体" w:cs="宋体"/>
          <w:sz w:val="32"/>
          <w:szCs w:val="32"/>
        </w:rPr>
        <w:t>造成需整改的总次数大于等于3次，或者当月因乙方原因造成需整改的项目数量大于等于5个时，甲方有权与乙方解除本合同、并拒付此前应</w:t>
      </w:r>
      <w:r>
        <w:rPr>
          <w:rFonts w:hint="eastAsia" w:ascii="宋体" w:hAnsi="宋体" w:cs="宋体"/>
          <w:kern w:val="0"/>
          <w:sz w:val="32"/>
          <w:szCs w:val="32"/>
        </w:rPr>
        <w:t>付而未付的所有款项。</w:t>
      </w:r>
    </w:p>
    <w:p w14:paraId="243F4230">
      <w:pPr>
        <w:keepNext w:val="0"/>
        <w:keepLines w:val="0"/>
        <w:pageBreakBefore w:val="0"/>
        <w:numPr>
          <w:ilvl w:val="0"/>
          <w:numId w:val="0"/>
        </w:numPr>
        <w:kinsoku/>
        <w:wordWrap/>
        <w:overflowPunct/>
        <w:topLinePunct w:val="0"/>
        <w:bidi w:val="0"/>
        <w:spacing w:line="560" w:lineRule="exact"/>
        <w:ind w:left="560" w:leftChars="0" w:right="0" w:rightChars="0"/>
        <w:rPr>
          <w:rFonts w:hint="eastAsia" w:ascii="宋体" w:hAnsi="宋体" w:cs="宋体"/>
          <w:kern w:val="0"/>
          <w:sz w:val="32"/>
          <w:szCs w:val="32"/>
        </w:rPr>
      </w:pPr>
      <w:r>
        <w:rPr>
          <w:rFonts w:hint="eastAsia" w:ascii="宋体" w:hAnsi="宋体" w:cs="宋体"/>
          <w:kern w:val="0"/>
          <w:sz w:val="32"/>
          <w:szCs w:val="32"/>
          <w:lang w:val="en-US" w:eastAsia="zh-CN"/>
        </w:rPr>
        <w:t>4、</w:t>
      </w:r>
      <w:r>
        <w:rPr>
          <w:rFonts w:hint="eastAsia" w:ascii="宋体" w:hAnsi="宋体" w:cs="宋体"/>
          <w:kern w:val="0"/>
          <w:sz w:val="32"/>
          <w:szCs w:val="32"/>
        </w:rPr>
        <w:t>乙方在履行本合同过程中侵犯任意第三人合法权益的，应当自行承担全部赔偿责任。</w:t>
      </w:r>
    </w:p>
    <w:p w14:paraId="65A83BB6">
      <w:pPr>
        <w:keepNext w:val="0"/>
        <w:keepLines w:val="0"/>
        <w:pageBreakBefore w:val="0"/>
        <w:kinsoku/>
        <w:wordWrap/>
        <w:overflowPunct/>
        <w:topLinePunct w:val="0"/>
        <w:bidi w:val="0"/>
        <w:spacing w:line="560" w:lineRule="exact"/>
        <w:ind w:left="0" w:leftChars="0" w:right="0" w:firstLine="560"/>
        <w:rPr>
          <w:rFonts w:hint="eastAsia" w:ascii="Times New Roman" w:hAnsi="Times New Roman" w:eastAsia="宋体" w:cs="Times New Roman"/>
          <w:b/>
          <w:bCs/>
          <w:kern w:val="0"/>
          <w:sz w:val="32"/>
          <w:szCs w:val="32"/>
          <w:lang w:eastAsia="zh-CN"/>
        </w:rPr>
      </w:pPr>
      <w:r>
        <w:rPr>
          <w:rFonts w:hint="eastAsia" w:ascii="Times New Roman" w:hAnsi="Times New Roman" w:cs="Times New Roman"/>
          <w:b/>
          <w:bCs/>
          <w:kern w:val="0"/>
          <w:sz w:val="32"/>
          <w:szCs w:val="32"/>
          <w:lang w:eastAsia="zh-CN"/>
        </w:rPr>
        <w:t>九</w:t>
      </w:r>
      <w:r>
        <w:rPr>
          <w:rFonts w:hint="default" w:ascii="Times New Roman" w:hAnsi="Times New Roman" w:cs="Times New Roman"/>
          <w:b/>
          <w:bCs/>
          <w:kern w:val="0"/>
          <w:sz w:val="32"/>
          <w:szCs w:val="32"/>
        </w:rPr>
        <w:t>、</w:t>
      </w:r>
      <w:r>
        <w:rPr>
          <w:rFonts w:hint="eastAsia" w:ascii="Times New Roman" w:hAnsi="Times New Roman" w:cs="Times New Roman"/>
          <w:b/>
          <w:bCs/>
          <w:kern w:val="0"/>
          <w:sz w:val="32"/>
          <w:szCs w:val="32"/>
          <w:lang w:eastAsia="zh-CN"/>
        </w:rPr>
        <w:t>争议解决方式</w:t>
      </w:r>
    </w:p>
    <w:p w14:paraId="095B4614">
      <w:pPr>
        <w:pStyle w:val="8"/>
        <w:keepNext w:val="0"/>
        <w:keepLines w:val="0"/>
        <w:pageBreakBefore w:val="0"/>
        <w:kinsoku/>
        <w:wordWrap/>
        <w:overflowPunct/>
        <w:topLinePunct w:val="0"/>
        <w:bidi w:val="0"/>
        <w:spacing w:after="0" w:line="560" w:lineRule="exact"/>
        <w:ind w:left="0" w:leftChars="0" w:right="0" w:firstLine="640" w:firstLineChars="200"/>
      </w:pPr>
      <w:r>
        <w:rPr>
          <w:rFonts w:hint="eastAsia" w:ascii="宋体" w:hAnsi="宋体" w:cs="宋体"/>
          <w:kern w:val="0"/>
          <w:sz w:val="32"/>
          <w:szCs w:val="32"/>
        </w:rPr>
        <w:t>甲、乙双方如因本合同履行问题产生争议的，双方应当通过友好协商方式处理争议；争议无法协商处理的，任何一方有权向本合同签订地有管辖权的人民法院提起诉讼解决争议。</w:t>
      </w:r>
    </w:p>
    <w:p w14:paraId="36FB73BF">
      <w:pPr>
        <w:keepNext w:val="0"/>
        <w:keepLines w:val="0"/>
        <w:pageBreakBefore w:val="0"/>
        <w:widowControl/>
        <w:kinsoku/>
        <w:wordWrap/>
        <w:overflowPunct/>
        <w:topLinePunct w:val="0"/>
        <w:autoSpaceDE w:val="0"/>
        <w:autoSpaceDN w:val="0"/>
        <w:bidi w:val="0"/>
        <w:snapToGrid w:val="0"/>
        <w:spacing w:line="560" w:lineRule="exact"/>
        <w:ind w:left="0" w:leftChars="0" w:right="0" w:firstLine="630" w:firstLineChars="196"/>
        <w:textAlignment w:val="bottom"/>
        <w:rPr>
          <w:rFonts w:ascii="宋体" w:hAnsi="宋体" w:cs="宋体"/>
          <w:b/>
          <w:kern w:val="0"/>
          <w:sz w:val="32"/>
          <w:szCs w:val="32"/>
        </w:rPr>
      </w:pPr>
      <w:r>
        <w:rPr>
          <w:rFonts w:hint="eastAsia" w:ascii="宋体" w:hAnsi="宋体" w:cs="宋体"/>
          <w:b/>
          <w:kern w:val="0"/>
          <w:sz w:val="32"/>
          <w:szCs w:val="32"/>
        </w:rPr>
        <w:t>十、知识产权</w:t>
      </w:r>
    </w:p>
    <w:p w14:paraId="349F734B">
      <w:pPr>
        <w:keepNext w:val="0"/>
        <w:keepLines w:val="0"/>
        <w:pageBreakBefore w:val="0"/>
        <w:kinsoku/>
        <w:wordWrap/>
        <w:overflowPunct/>
        <w:topLinePunct w:val="0"/>
        <w:bidi w:val="0"/>
        <w:spacing w:line="560" w:lineRule="exact"/>
        <w:ind w:left="0" w:leftChars="0" w:right="0" w:firstLine="560"/>
        <w:rPr>
          <w:rFonts w:ascii="宋体" w:hAnsi="宋体" w:cs="宋体"/>
          <w:kern w:val="0"/>
          <w:sz w:val="32"/>
          <w:szCs w:val="32"/>
        </w:rPr>
      </w:pPr>
      <w:r>
        <w:rPr>
          <w:rFonts w:hint="eastAsia" w:ascii="宋体" w:hAnsi="宋体" w:cs="宋体"/>
          <w:kern w:val="0"/>
          <w:sz w:val="32"/>
          <w:szCs w:val="32"/>
        </w:rPr>
        <w:t>乙方应当确保本项目服务工作所使用的物料、设备和技术等不侵犯任何第三人的合法权益及知识产权。如因乙方提供的物料、设备和技术等侵犯第三人合法权益及知识产权的，乙方自行向第三人承担赔偿责任。</w:t>
      </w:r>
    </w:p>
    <w:p w14:paraId="0C122524">
      <w:pPr>
        <w:keepNext w:val="0"/>
        <w:keepLines w:val="0"/>
        <w:pageBreakBefore w:val="0"/>
        <w:widowControl/>
        <w:kinsoku/>
        <w:wordWrap/>
        <w:overflowPunct/>
        <w:topLinePunct w:val="0"/>
        <w:autoSpaceDE w:val="0"/>
        <w:autoSpaceDN w:val="0"/>
        <w:bidi w:val="0"/>
        <w:snapToGrid w:val="0"/>
        <w:spacing w:line="560" w:lineRule="exact"/>
        <w:ind w:left="0" w:leftChars="0" w:right="0" w:firstLine="630" w:firstLineChars="196"/>
        <w:textAlignment w:val="bottom"/>
        <w:rPr>
          <w:rFonts w:ascii="宋体" w:hAnsi="宋体" w:cs="宋体"/>
          <w:b/>
          <w:kern w:val="0"/>
          <w:sz w:val="32"/>
          <w:szCs w:val="32"/>
        </w:rPr>
      </w:pPr>
      <w:r>
        <w:rPr>
          <w:rFonts w:hint="eastAsia" w:ascii="宋体" w:hAnsi="宋体" w:cs="宋体"/>
          <w:b/>
          <w:kern w:val="0"/>
          <w:sz w:val="32"/>
          <w:szCs w:val="32"/>
        </w:rPr>
        <w:t>十</w:t>
      </w:r>
      <w:r>
        <w:rPr>
          <w:rFonts w:hint="eastAsia" w:ascii="宋体" w:hAnsi="宋体" w:cs="宋体"/>
          <w:b/>
          <w:kern w:val="0"/>
          <w:sz w:val="32"/>
          <w:szCs w:val="32"/>
          <w:lang w:eastAsia="zh-CN"/>
        </w:rPr>
        <w:t>一</w:t>
      </w:r>
      <w:r>
        <w:rPr>
          <w:rFonts w:hint="eastAsia" w:ascii="宋体" w:hAnsi="宋体" w:cs="宋体"/>
          <w:b/>
          <w:kern w:val="0"/>
          <w:sz w:val="32"/>
          <w:szCs w:val="32"/>
        </w:rPr>
        <w:t>、保密条款</w:t>
      </w:r>
    </w:p>
    <w:p w14:paraId="05E0A082">
      <w:pPr>
        <w:keepNext w:val="0"/>
        <w:keepLines w:val="0"/>
        <w:pageBreakBefore w:val="0"/>
        <w:kinsoku/>
        <w:wordWrap/>
        <w:overflowPunct/>
        <w:topLinePunct w:val="0"/>
        <w:bidi w:val="0"/>
        <w:spacing w:line="560" w:lineRule="exact"/>
        <w:ind w:left="0" w:leftChars="0" w:right="0" w:firstLine="560"/>
        <w:rPr>
          <w:rFonts w:hint="eastAsia"/>
        </w:rPr>
      </w:pPr>
      <w:r>
        <w:rPr>
          <w:rFonts w:hint="eastAsia" w:ascii="宋体" w:hAnsi="宋体" w:eastAsia="宋体" w:cs="宋体"/>
          <w:sz w:val="32"/>
          <w:szCs w:val="32"/>
          <w:lang w:val="en-US" w:eastAsia="zh-CN"/>
        </w:rPr>
        <w:t>1、</w:t>
      </w:r>
      <w:r>
        <w:rPr>
          <w:rFonts w:hint="eastAsia" w:ascii="宋体" w:hAnsi="宋体" w:eastAsia="宋体" w:cs="宋体"/>
          <w:sz w:val="32"/>
          <w:szCs w:val="32"/>
        </w:rPr>
        <w:t>乙方在项目实施过程中所接触到的甲方各种信息、数据或技术资料（包括但不限于监测方案、企业生产工艺、污染物排放情况、商业秘密等）均属于甲方的保密信息。</w:t>
      </w:r>
    </w:p>
    <w:p w14:paraId="4AA15B86">
      <w:pPr>
        <w:keepNext w:val="0"/>
        <w:keepLines w:val="0"/>
        <w:pageBreakBefore w:val="0"/>
        <w:kinsoku/>
        <w:wordWrap/>
        <w:overflowPunct/>
        <w:topLinePunct w:val="0"/>
        <w:bidi w:val="0"/>
        <w:spacing w:line="560" w:lineRule="exact"/>
        <w:ind w:left="0" w:leftChars="0" w:right="0" w:firstLine="560"/>
        <w:rPr>
          <w:rFonts w:hint="eastAsia" w:ascii="宋体" w:hAnsi="宋体" w:eastAsia="宋体" w:cs="宋体"/>
          <w:sz w:val="32"/>
          <w:szCs w:val="32"/>
        </w:rPr>
      </w:pPr>
      <w:r>
        <w:rPr>
          <w:rFonts w:hint="eastAsia" w:ascii="宋体" w:hAnsi="宋体" w:eastAsia="宋体" w:cs="宋体"/>
          <w:sz w:val="32"/>
          <w:szCs w:val="32"/>
          <w:lang w:val="en-US" w:eastAsia="zh-CN"/>
        </w:rPr>
        <w:t>2、</w:t>
      </w:r>
      <w:r>
        <w:rPr>
          <w:rFonts w:hint="eastAsia" w:ascii="宋体" w:hAnsi="宋体" w:eastAsia="宋体" w:cs="宋体"/>
          <w:sz w:val="32"/>
          <w:szCs w:val="32"/>
        </w:rPr>
        <w:t>未经甲方书面许可，乙方不得向任何第三方泄漏甲方的保密信息。乙方应采取必要的保密措施，确保保密信息的安全，保密措施包括但不限于限制知悉人员范围、签订保密协议、对保密信息进行加密存储等。</w:t>
      </w:r>
    </w:p>
    <w:p w14:paraId="5CB1320F">
      <w:pPr>
        <w:pStyle w:val="2"/>
        <w:ind w:firstLine="640" w:firstLineChars="200"/>
        <w:rPr>
          <w:rFonts w:hint="eastAsia"/>
        </w:rPr>
      </w:pPr>
      <w:r>
        <w:rPr>
          <w:rFonts w:hint="eastAsia" w:ascii="宋体" w:hAnsi="宋体" w:cs="宋体"/>
          <w:sz w:val="32"/>
          <w:szCs w:val="32"/>
          <w:lang w:val="en-US" w:eastAsia="zh-CN"/>
        </w:rPr>
        <w:t>3、</w:t>
      </w:r>
      <w:r>
        <w:rPr>
          <w:rFonts w:hint="eastAsia" w:ascii="宋体" w:hAnsi="宋体" w:cs="宋体"/>
          <w:sz w:val="32"/>
          <w:szCs w:val="32"/>
        </w:rPr>
        <w:t>乙方不得向任意第三方泄露本合同履行过程中所知悉的甲方信息和甲方提交的相关资料，亦不得以任何理由向其泄露本合同履行相关情况。</w:t>
      </w:r>
    </w:p>
    <w:p w14:paraId="3A49B4E2">
      <w:pPr>
        <w:keepNext w:val="0"/>
        <w:keepLines w:val="0"/>
        <w:pageBreakBefore w:val="0"/>
        <w:kinsoku/>
        <w:wordWrap/>
        <w:overflowPunct/>
        <w:topLinePunct w:val="0"/>
        <w:bidi w:val="0"/>
        <w:adjustRightInd w:val="0"/>
        <w:snapToGrid w:val="0"/>
        <w:spacing w:line="560" w:lineRule="exact"/>
        <w:ind w:left="0" w:leftChars="0" w:right="0" w:firstLine="640" w:firstLineChars="200"/>
      </w:pPr>
      <w:r>
        <w:rPr>
          <w:rFonts w:hint="eastAsia" w:ascii="宋体" w:hAnsi="宋体" w:eastAsia="宋体" w:cs="宋体"/>
          <w:sz w:val="32"/>
          <w:szCs w:val="32"/>
          <w:lang w:val="en-US" w:eastAsia="zh-CN"/>
        </w:rPr>
        <w:t>4、</w:t>
      </w:r>
      <w:r>
        <w:rPr>
          <w:rFonts w:hint="eastAsia" w:ascii="宋体" w:hAnsi="宋体" w:eastAsia="宋体" w:cs="宋体"/>
          <w:sz w:val="32"/>
          <w:szCs w:val="32"/>
        </w:rPr>
        <w:t>若乙方违反保密条款，向第三方泄漏甲方的保密信息，甲方将追究乙方的泄密责任，乙方应承担由此给甲方带来的一切损失，包括但不限于直接经济损失、间接经济损失、名誉损失等。</w:t>
      </w:r>
    </w:p>
    <w:p w14:paraId="6E36C91A">
      <w:pPr>
        <w:keepNext w:val="0"/>
        <w:keepLines w:val="0"/>
        <w:pageBreakBefore w:val="0"/>
        <w:widowControl/>
        <w:kinsoku/>
        <w:wordWrap/>
        <w:overflowPunct/>
        <w:topLinePunct w:val="0"/>
        <w:autoSpaceDE w:val="0"/>
        <w:autoSpaceDN w:val="0"/>
        <w:bidi w:val="0"/>
        <w:snapToGrid w:val="0"/>
        <w:spacing w:line="560" w:lineRule="exact"/>
        <w:ind w:left="0" w:leftChars="0" w:right="0" w:firstLine="630" w:firstLineChars="196"/>
        <w:textAlignment w:val="bottom"/>
        <w:rPr>
          <w:rFonts w:ascii="宋体" w:hAnsi="宋体" w:cs="宋体"/>
          <w:b/>
          <w:kern w:val="0"/>
          <w:sz w:val="32"/>
          <w:szCs w:val="32"/>
        </w:rPr>
      </w:pPr>
      <w:r>
        <w:rPr>
          <w:rFonts w:hint="eastAsia" w:ascii="宋体" w:hAnsi="宋体" w:cs="宋体"/>
          <w:b/>
          <w:kern w:val="0"/>
          <w:sz w:val="32"/>
          <w:szCs w:val="32"/>
        </w:rPr>
        <w:t>十</w:t>
      </w:r>
      <w:r>
        <w:rPr>
          <w:rFonts w:hint="eastAsia" w:ascii="宋体" w:hAnsi="宋体" w:cs="宋体"/>
          <w:b/>
          <w:kern w:val="0"/>
          <w:sz w:val="32"/>
          <w:szCs w:val="32"/>
          <w:lang w:eastAsia="zh-CN"/>
        </w:rPr>
        <w:t>二</w:t>
      </w:r>
      <w:r>
        <w:rPr>
          <w:rFonts w:hint="eastAsia" w:ascii="宋体" w:hAnsi="宋体" w:cs="宋体"/>
          <w:b/>
          <w:kern w:val="0"/>
          <w:sz w:val="32"/>
          <w:szCs w:val="32"/>
        </w:rPr>
        <w:t>、不可抗力</w:t>
      </w:r>
    </w:p>
    <w:p w14:paraId="66FD21BD">
      <w:pPr>
        <w:keepNext w:val="0"/>
        <w:keepLines w:val="0"/>
        <w:pageBreakBefore w:val="0"/>
        <w:kinsoku/>
        <w:wordWrap/>
        <w:overflowPunct/>
        <w:topLinePunct w:val="0"/>
        <w:bidi w:val="0"/>
        <w:adjustRightInd w:val="0"/>
        <w:snapToGrid w:val="0"/>
        <w:spacing w:line="560" w:lineRule="exact"/>
        <w:ind w:left="0" w:leftChars="0" w:right="0" w:firstLine="640" w:firstLineChars="200"/>
        <w:rPr>
          <w:rFonts w:ascii="宋体" w:hAnsi="宋体" w:cs="宋体"/>
          <w:sz w:val="32"/>
          <w:szCs w:val="32"/>
        </w:rPr>
      </w:pPr>
      <w:r>
        <w:rPr>
          <w:rFonts w:hint="eastAsia" w:ascii="宋体" w:hAnsi="宋体" w:cs="宋体"/>
          <w:sz w:val="32"/>
          <w:szCs w:val="32"/>
        </w:rPr>
        <w:t>1、本合同如因不可抗力情形导致无法履行的，双方协商处理合同解除或继续履行相关事宜，均不承担违约责任。</w:t>
      </w:r>
    </w:p>
    <w:p w14:paraId="4FCA260C">
      <w:pPr>
        <w:keepNext w:val="0"/>
        <w:keepLines w:val="0"/>
        <w:pageBreakBefore w:val="0"/>
        <w:kinsoku/>
        <w:wordWrap/>
        <w:overflowPunct/>
        <w:topLinePunct w:val="0"/>
        <w:bidi w:val="0"/>
        <w:adjustRightInd w:val="0"/>
        <w:snapToGrid w:val="0"/>
        <w:spacing w:line="560" w:lineRule="exact"/>
        <w:ind w:left="0" w:leftChars="0" w:right="0" w:firstLine="640" w:firstLineChars="200"/>
        <w:rPr>
          <w:rFonts w:hint="eastAsia" w:ascii="宋体" w:hAnsi="宋体" w:cs="宋体"/>
          <w:sz w:val="32"/>
          <w:szCs w:val="32"/>
        </w:rPr>
      </w:pPr>
      <w:r>
        <w:rPr>
          <w:rFonts w:hint="eastAsia" w:ascii="宋体" w:hAnsi="宋体" w:cs="宋体"/>
          <w:sz w:val="32"/>
          <w:szCs w:val="32"/>
        </w:rPr>
        <w:t>2、乙方违约后出现不可抗力情形的，不免除乙方违约责任。</w:t>
      </w:r>
    </w:p>
    <w:p w14:paraId="275D3F98">
      <w:pPr>
        <w:keepNext w:val="0"/>
        <w:keepLines w:val="0"/>
        <w:pageBreakBefore w:val="0"/>
        <w:kinsoku/>
        <w:wordWrap/>
        <w:overflowPunct/>
        <w:topLinePunct w:val="0"/>
        <w:bidi w:val="0"/>
        <w:spacing w:line="560" w:lineRule="exact"/>
        <w:ind w:left="0" w:leftChars="0" w:right="0" w:firstLine="560"/>
        <w:rPr>
          <w:rFonts w:ascii="宋体" w:hAnsi="宋体" w:cs="宋体"/>
          <w:b/>
          <w:bCs/>
          <w:kern w:val="0"/>
          <w:sz w:val="32"/>
          <w:szCs w:val="32"/>
        </w:rPr>
      </w:pPr>
      <w:r>
        <w:rPr>
          <w:rFonts w:hint="eastAsia" w:ascii="宋体" w:hAnsi="宋体" w:cs="宋体"/>
          <w:b/>
          <w:bCs/>
          <w:kern w:val="0"/>
          <w:sz w:val="32"/>
          <w:szCs w:val="32"/>
        </w:rPr>
        <w:t>十</w:t>
      </w:r>
      <w:r>
        <w:rPr>
          <w:rFonts w:hint="eastAsia" w:ascii="宋体" w:hAnsi="宋体" w:cs="宋体"/>
          <w:b/>
          <w:bCs/>
          <w:kern w:val="0"/>
          <w:sz w:val="32"/>
          <w:szCs w:val="32"/>
          <w:lang w:val="en-US" w:eastAsia="zh-CN"/>
        </w:rPr>
        <w:t>三</w:t>
      </w:r>
      <w:r>
        <w:rPr>
          <w:rFonts w:hint="eastAsia" w:ascii="宋体" w:hAnsi="宋体" w:cs="宋体"/>
          <w:b/>
          <w:bCs/>
          <w:kern w:val="0"/>
          <w:sz w:val="32"/>
          <w:szCs w:val="32"/>
        </w:rPr>
        <w:t>、合同生效及其它</w:t>
      </w:r>
    </w:p>
    <w:p w14:paraId="7AEBA6ED">
      <w:pPr>
        <w:keepNext w:val="0"/>
        <w:keepLines w:val="0"/>
        <w:pageBreakBefore w:val="0"/>
        <w:kinsoku/>
        <w:wordWrap/>
        <w:overflowPunct/>
        <w:topLinePunct w:val="0"/>
        <w:bidi w:val="0"/>
        <w:spacing w:line="560" w:lineRule="exact"/>
        <w:ind w:left="0" w:leftChars="0" w:right="0" w:firstLine="560"/>
        <w:rPr>
          <w:rFonts w:ascii="宋体" w:hAnsi="宋体" w:cs="宋体"/>
          <w:kern w:val="0"/>
          <w:sz w:val="32"/>
          <w:szCs w:val="32"/>
        </w:rPr>
      </w:pPr>
      <w:r>
        <w:rPr>
          <w:rFonts w:hint="eastAsia" w:ascii="宋体" w:hAnsi="宋体" w:cs="宋体"/>
          <w:kern w:val="0"/>
          <w:sz w:val="32"/>
          <w:szCs w:val="32"/>
        </w:rPr>
        <w:t>1、合同未尽事宜、由甲、乙双方协商签订补充协议，作为合同补充，与原合同具有同等法律效力。</w:t>
      </w:r>
    </w:p>
    <w:p w14:paraId="3BD1BA52">
      <w:pPr>
        <w:keepNext w:val="0"/>
        <w:keepLines w:val="0"/>
        <w:pageBreakBefore w:val="0"/>
        <w:kinsoku/>
        <w:wordWrap/>
        <w:overflowPunct/>
        <w:topLinePunct w:val="0"/>
        <w:bidi w:val="0"/>
        <w:spacing w:line="560" w:lineRule="exact"/>
        <w:ind w:left="0" w:leftChars="0" w:right="0" w:firstLine="560"/>
        <w:rPr>
          <w:rFonts w:ascii="宋体" w:hAnsi="宋体" w:cs="宋体"/>
          <w:kern w:val="0"/>
          <w:sz w:val="32"/>
          <w:szCs w:val="32"/>
        </w:rPr>
      </w:pPr>
      <w:r>
        <w:rPr>
          <w:rFonts w:hint="eastAsia" w:ascii="宋体" w:hAnsi="宋体" w:cs="宋体"/>
          <w:kern w:val="0"/>
          <w:sz w:val="32"/>
          <w:szCs w:val="32"/>
        </w:rPr>
        <w:t>2、 本合同正本一式陆份，甲方执</w:t>
      </w:r>
      <w:r>
        <w:rPr>
          <w:rFonts w:hint="eastAsia" w:ascii="宋体" w:hAnsi="宋体" w:cs="宋体"/>
          <w:kern w:val="0"/>
          <w:sz w:val="32"/>
          <w:szCs w:val="32"/>
          <w:lang w:eastAsia="zh-CN"/>
        </w:rPr>
        <w:t>伍</w:t>
      </w:r>
      <w:r>
        <w:rPr>
          <w:rFonts w:hint="eastAsia" w:ascii="宋体" w:hAnsi="宋体" w:cs="宋体"/>
          <w:kern w:val="0"/>
          <w:sz w:val="32"/>
          <w:szCs w:val="32"/>
        </w:rPr>
        <w:t>份、乙方执</w:t>
      </w:r>
      <w:r>
        <w:rPr>
          <w:rFonts w:hint="eastAsia" w:ascii="宋体" w:hAnsi="宋体" w:cs="宋体"/>
          <w:kern w:val="0"/>
          <w:sz w:val="32"/>
          <w:szCs w:val="32"/>
          <w:lang w:eastAsia="zh-CN"/>
        </w:rPr>
        <w:t>壹</w:t>
      </w:r>
      <w:r>
        <w:rPr>
          <w:rFonts w:hint="eastAsia" w:ascii="宋体" w:hAnsi="宋体" w:cs="宋体"/>
          <w:kern w:val="0"/>
          <w:sz w:val="32"/>
          <w:szCs w:val="32"/>
        </w:rPr>
        <w:t>份。</w:t>
      </w:r>
    </w:p>
    <w:p w14:paraId="14814F45">
      <w:pPr>
        <w:keepNext w:val="0"/>
        <w:keepLines w:val="0"/>
        <w:pageBreakBefore w:val="0"/>
        <w:kinsoku/>
        <w:wordWrap/>
        <w:overflowPunct/>
        <w:topLinePunct w:val="0"/>
        <w:bidi w:val="0"/>
        <w:spacing w:line="560" w:lineRule="exact"/>
        <w:ind w:left="0" w:leftChars="0" w:right="0" w:firstLine="560"/>
        <w:rPr>
          <w:rFonts w:ascii="宋体" w:hAnsi="宋体" w:cs="宋体"/>
          <w:kern w:val="0"/>
          <w:sz w:val="32"/>
          <w:szCs w:val="32"/>
        </w:rPr>
      </w:pPr>
      <w:r>
        <w:rPr>
          <w:rFonts w:hint="eastAsia" w:ascii="宋体" w:hAnsi="宋体" w:cs="宋体"/>
          <w:kern w:val="0"/>
          <w:sz w:val="32"/>
          <w:szCs w:val="32"/>
        </w:rPr>
        <w:t>3、本合同经甲、乙双方签字盖章或直接盖章后生效，合同签订地点为西安曲江新区。</w:t>
      </w:r>
    </w:p>
    <w:p w14:paraId="7A329868">
      <w:pPr>
        <w:keepNext w:val="0"/>
        <w:keepLines w:val="0"/>
        <w:pageBreakBefore w:val="0"/>
        <w:kinsoku/>
        <w:wordWrap/>
        <w:overflowPunct/>
        <w:topLinePunct w:val="0"/>
        <w:bidi w:val="0"/>
        <w:spacing w:line="560" w:lineRule="exact"/>
        <w:ind w:left="0" w:leftChars="0" w:right="0" w:firstLine="560"/>
        <w:rPr>
          <w:rFonts w:hint="eastAsia" w:ascii="宋体" w:hAnsi="宋体" w:cs="宋体"/>
          <w:kern w:val="0"/>
          <w:sz w:val="32"/>
          <w:szCs w:val="32"/>
        </w:rPr>
      </w:pPr>
      <w:r>
        <w:rPr>
          <w:rFonts w:hint="eastAsia" w:ascii="宋体" w:hAnsi="宋体" w:cs="宋体"/>
          <w:kern w:val="0"/>
          <w:sz w:val="32"/>
          <w:szCs w:val="32"/>
          <w:lang w:val="en-US" w:eastAsia="zh-CN"/>
        </w:rPr>
        <w:t>4</w:t>
      </w:r>
      <w:r>
        <w:rPr>
          <w:rFonts w:hint="eastAsia" w:ascii="宋体" w:hAnsi="宋体" w:cs="宋体"/>
          <w:kern w:val="0"/>
          <w:sz w:val="32"/>
          <w:szCs w:val="32"/>
        </w:rPr>
        <w:t>、本合同附件为本合同不可分割的组成部分，与本合同具有同等法律效力。</w:t>
      </w:r>
    </w:p>
    <w:p w14:paraId="41C63383">
      <w:pPr>
        <w:pStyle w:val="8"/>
        <w:keepNext w:val="0"/>
        <w:keepLines w:val="0"/>
        <w:pageBreakBefore w:val="0"/>
        <w:kinsoku/>
        <w:wordWrap/>
        <w:overflowPunct/>
        <w:topLinePunct w:val="0"/>
        <w:bidi w:val="0"/>
        <w:spacing w:after="0" w:line="560" w:lineRule="exact"/>
        <w:ind w:left="0" w:leftChars="0" w:right="0" w:firstLine="640" w:firstLineChars="200"/>
        <w:rPr>
          <w:rFonts w:hint="eastAsia" w:ascii="宋体" w:hAnsi="宋体" w:cs="宋体"/>
          <w:sz w:val="32"/>
          <w:szCs w:val="32"/>
        </w:rPr>
      </w:pPr>
      <w:r>
        <w:rPr>
          <w:rFonts w:hint="eastAsia" w:ascii="宋体" w:hAnsi="宋体" w:cs="宋体"/>
          <w:kern w:val="0"/>
          <w:sz w:val="32"/>
          <w:szCs w:val="32"/>
          <w:lang w:val="en-US" w:eastAsia="zh-CN"/>
        </w:rPr>
        <w:t>附件：《西安曲江新区事业资产管理中心第三方检测人员管理规定及服务要求》</w:t>
      </w:r>
    </w:p>
    <w:p w14:paraId="6452350D">
      <w:pPr>
        <w:pStyle w:val="2"/>
        <w:spacing w:line="560" w:lineRule="exact"/>
        <w:jc w:val="center"/>
        <w:rPr>
          <w:rFonts w:hint="eastAsia" w:ascii="宋体" w:hAnsi="宋体" w:cs="宋体"/>
          <w:kern w:val="0"/>
          <w:sz w:val="32"/>
          <w:szCs w:val="32"/>
        </w:rPr>
      </w:pPr>
      <w:r>
        <w:rPr>
          <w:rFonts w:hint="eastAsia" w:ascii="宋体" w:hAnsi="宋体" w:cs="宋体"/>
          <w:kern w:val="0"/>
          <w:sz w:val="32"/>
          <w:szCs w:val="32"/>
        </w:rPr>
        <w:t>（以下为签署页，无正文）</w:t>
      </w:r>
    </w:p>
    <w:tbl>
      <w:tblPr>
        <w:tblStyle w:val="9"/>
        <w:tblW w:w="893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701"/>
        <w:gridCol w:w="6237"/>
      </w:tblGrid>
      <w:tr w14:paraId="00ACE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993" w:type="dxa"/>
            <w:vMerge w:val="restart"/>
            <w:noWrap w:val="0"/>
            <w:vAlign w:val="top"/>
          </w:tcPr>
          <w:p w14:paraId="491074E1">
            <w:pPr>
              <w:spacing w:line="560" w:lineRule="exact"/>
              <w:jc w:val="center"/>
              <w:rPr>
                <w:rFonts w:ascii="宋体" w:hAnsi="宋体" w:cs="宋体"/>
                <w:sz w:val="32"/>
                <w:szCs w:val="32"/>
              </w:rPr>
            </w:pPr>
          </w:p>
          <w:p w14:paraId="0618E35B">
            <w:pPr>
              <w:spacing w:line="560" w:lineRule="exact"/>
              <w:jc w:val="both"/>
              <w:rPr>
                <w:rFonts w:ascii="宋体" w:hAnsi="宋体" w:cs="宋体"/>
                <w:sz w:val="32"/>
                <w:szCs w:val="32"/>
              </w:rPr>
            </w:pPr>
            <w:r>
              <w:rPr>
                <w:rFonts w:hint="eastAsia" w:ascii="宋体" w:hAnsi="宋体" w:cs="宋体"/>
                <w:sz w:val="32"/>
                <w:szCs w:val="32"/>
              </w:rPr>
              <w:t>甲方</w:t>
            </w:r>
          </w:p>
        </w:tc>
        <w:tc>
          <w:tcPr>
            <w:tcW w:w="1701" w:type="dxa"/>
            <w:noWrap w:val="0"/>
            <w:vAlign w:val="top"/>
          </w:tcPr>
          <w:p w14:paraId="17EC04F0">
            <w:pPr>
              <w:spacing w:line="560" w:lineRule="exact"/>
              <w:jc w:val="center"/>
              <w:rPr>
                <w:rFonts w:ascii="宋体" w:hAnsi="宋体" w:cs="宋体"/>
                <w:sz w:val="32"/>
                <w:szCs w:val="32"/>
              </w:rPr>
            </w:pPr>
            <w:r>
              <w:rPr>
                <w:rFonts w:hint="eastAsia" w:ascii="宋体" w:hAnsi="宋体" w:cs="宋体"/>
                <w:sz w:val="32"/>
                <w:szCs w:val="32"/>
              </w:rPr>
              <w:t>单位名称</w:t>
            </w:r>
          </w:p>
        </w:tc>
        <w:tc>
          <w:tcPr>
            <w:tcW w:w="6237" w:type="dxa"/>
            <w:noWrap w:val="0"/>
            <w:vAlign w:val="top"/>
          </w:tcPr>
          <w:p w14:paraId="581746C1">
            <w:pPr>
              <w:spacing w:line="560" w:lineRule="exact"/>
              <w:jc w:val="center"/>
              <w:rPr>
                <w:rFonts w:ascii="宋体" w:hAnsi="宋体" w:cs="宋体"/>
                <w:sz w:val="32"/>
                <w:szCs w:val="32"/>
              </w:rPr>
            </w:pPr>
            <w:r>
              <w:rPr>
                <w:rFonts w:hint="eastAsia" w:ascii="宋体" w:hAnsi="宋体" w:cs="宋体"/>
                <w:sz w:val="32"/>
                <w:szCs w:val="32"/>
              </w:rPr>
              <w:t>西安曲江新区事业资产管理中心</w:t>
            </w:r>
          </w:p>
        </w:tc>
      </w:tr>
      <w:tr w14:paraId="05625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993" w:type="dxa"/>
            <w:vMerge w:val="continue"/>
            <w:noWrap w:val="0"/>
            <w:vAlign w:val="top"/>
          </w:tcPr>
          <w:p w14:paraId="7212BB98">
            <w:pPr>
              <w:spacing w:line="560" w:lineRule="exact"/>
              <w:jc w:val="center"/>
              <w:rPr>
                <w:rFonts w:ascii="宋体" w:hAnsi="宋体" w:cs="宋体"/>
                <w:sz w:val="32"/>
                <w:szCs w:val="32"/>
              </w:rPr>
            </w:pPr>
          </w:p>
        </w:tc>
        <w:tc>
          <w:tcPr>
            <w:tcW w:w="1701" w:type="dxa"/>
            <w:noWrap w:val="0"/>
            <w:vAlign w:val="top"/>
          </w:tcPr>
          <w:p w14:paraId="302604DC">
            <w:pPr>
              <w:spacing w:line="560" w:lineRule="exact"/>
              <w:jc w:val="center"/>
              <w:rPr>
                <w:rFonts w:ascii="宋体" w:hAnsi="宋体" w:cs="宋体"/>
                <w:sz w:val="32"/>
                <w:szCs w:val="32"/>
              </w:rPr>
            </w:pPr>
            <w:r>
              <w:rPr>
                <w:rFonts w:hint="eastAsia" w:ascii="宋体" w:hAnsi="宋体" w:cs="宋体"/>
                <w:sz w:val="32"/>
                <w:szCs w:val="32"/>
              </w:rPr>
              <w:t>通讯地址</w:t>
            </w:r>
          </w:p>
        </w:tc>
        <w:tc>
          <w:tcPr>
            <w:tcW w:w="6237" w:type="dxa"/>
            <w:noWrap w:val="0"/>
            <w:vAlign w:val="top"/>
          </w:tcPr>
          <w:p w14:paraId="6EEA4D6C">
            <w:pPr>
              <w:spacing w:line="560" w:lineRule="exact"/>
              <w:jc w:val="center"/>
              <w:rPr>
                <w:rFonts w:ascii="宋体" w:hAnsi="宋体" w:cs="宋体"/>
                <w:sz w:val="32"/>
                <w:szCs w:val="32"/>
              </w:rPr>
            </w:pPr>
            <w:r>
              <w:rPr>
                <w:rFonts w:hint="eastAsia" w:ascii="宋体" w:hAnsi="宋体" w:cs="宋体"/>
                <w:sz w:val="32"/>
                <w:szCs w:val="32"/>
              </w:rPr>
              <w:t>西安曲江新区杜陵邑南路6号</w:t>
            </w:r>
          </w:p>
        </w:tc>
      </w:tr>
      <w:tr w14:paraId="490D8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993" w:type="dxa"/>
            <w:vMerge w:val="continue"/>
            <w:noWrap w:val="0"/>
            <w:vAlign w:val="top"/>
          </w:tcPr>
          <w:p w14:paraId="569569AD">
            <w:pPr>
              <w:spacing w:line="560" w:lineRule="exact"/>
              <w:jc w:val="center"/>
              <w:rPr>
                <w:rFonts w:ascii="宋体" w:hAnsi="宋体" w:cs="宋体"/>
                <w:sz w:val="32"/>
                <w:szCs w:val="32"/>
              </w:rPr>
            </w:pPr>
          </w:p>
        </w:tc>
        <w:tc>
          <w:tcPr>
            <w:tcW w:w="1701" w:type="dxa"/>
            <w:noWrap w:val="0"/>
            <w:vAlign w:val="top"/>
          </w:tcPr>
          <w:p w14:paraId="6E14CB49">
            <w:pPr>
              <w:spacing w:line="560" w:lineRule="exact"/>
              <w:jc w:val="center"/>
              <w:rPr>
                <w:rFonts w:ascii="宋体" w:hAnsi="宋体" w:cs="宋体"/>
                <w:sz w:val="32"/>
                <w:szCs w:val="32"/>
              </w:rPr>
            </w:pPr>
            <w:r>
              <w:rPr>
                <w:rFonts w:hint="eastAsia" w:ascii="宋体" w:hAnsi="宋体" w:cs="宋体"/>
                <w:sz w:val="32"/>
                <w:szCs w:val="32"/>
              </w:rPr>
              <w:t>电话</w:t>
            </w:r>
          </w:p>
        </w:tc>
        <w:tc>
          <w:tcPr>
            <w:tcW w:w="6237" w:type="dxa"/>
            <w:noWrap w:val="0"/>
            <w:vAlign w:val="top"/>
          </w:tcPr>
          <w:p w14:paraId="2283E4F2">
            <w:pPr>
              <w:spacing w:line="560" w:lineRule="exact"/>
              <w:jc w:val="center"/>
              <w:rPr>
                <w:rFonts w:ascii="宋体" w:hAnsi="宋体" w:cs="宋体"/>
                <w:sz w:val="32"/>
                <w:szCs w:val="32"/>
              </w:rPr>
            </w:pPr>
          </w:p>
        </w:tc>
      </w:tr>
      <w:tr w14:paraId="41985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993" w:type="dxa"/>
            <w:vMerge w:val="continue"/>
            <w:noWrap w:val="0"/>
            <w:vAlign w:val="top"/>
          </w:tcPr>
          <w:p w14:paraId="44FE6183">
            <w:pPr>
              <w:spacing w:line="560" w:lineRule="exact"/>
              <w:jc w:val="center"/>
              <w:rPr>
                <w:rFonts w:ascii="宋体" w:hAnsi="宋体" w:cs="宋体"/>
                <w:sz w:val="32"/>
                <w:szCs w:val="32"/>
              </w:rPr>
            </w:pPr>
          </w:p>
        </w:tc>
        <w:tc>
          <w:tcPr>
            <w:tcW w:w="1701" w:type="dxa"/>
            <w:noWrap w:val="0"/>
            <w:vAlign w:val="top"/>
          </w:tcPr>
          <w:p w14:paraId="05C39019">
            <w:pPr>
              <w:spacing w:line="560" w:lineRule="exact"/>
              <w:jc w:val="center"/>
              <w:rPr>
                <w:rFonts w:ascii="宋体" w:hAnsi="宋体" w:cs="宋体"/>
                <w:sz w:val="32"/>
                <w:szCs w:val="32"/>
              </w:rPr>
            </w:pPr>
            <w:r>
              <w:rPr>
                <w:rFonts w:hint="eastAsia" w:ascii="宋体" w:hAnsi="宋体" w:cs="宋体"/>
                <w:sz w:val="32"/>
                <w:szCs w:val="32"/>
              </w:rPr>
              <w:t>传真</w:t>
            </w:r>
          </w:p>
        </w:tc>
        <w:tc>
          <w:tcPr>
            <w:tcW w:w="6237" w:type="dxa"/>
            <w:noWrap w:val="0"/>
            <w:vAlign w:val="top"/>
          </w:tcPr>
          <w:p w14:paraId="30F6E1AA">
            <w:pPr>
              <w:spacing w:line="560" w:lineRule="exact"/>
              <w:jc w:val="both"/>
              <w:rPr>
                <w:rFonts w:ascii="宋体" w:hAnsi="宋体" w:cs="宋体"/>
                <w:sz w:val="32"/>
                <w:szCs w:val="32"/>
              </w:rPr>
            </w:pPr>
          </w:p>
        </w:tc>
      </w:tr>
      <w:tr w14:paraId="6C996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993" w:type="dxa"/>
            <w:vMerge w:val="restart"/>
            <w:noWrap w:val="0"/>
            <w:vAlign w:val="top"/>
          </w:tcPr>
          <w:p w14:paraId="3AB56A05">
            <w:pPr>
              <w:spacing w:line="560" w:lineRule="exact"/>
              <w:jc w:val="center"/>
              <w:rPr>
                <w:rFonts w:ascii="宋体" w:hAnsi="宋体" w:cs="宋体"/>
                <w:sz w:val="32"/>
                <w:szCs w:val="32"/>
              </w:rPr>
            </w:pPr>
          </w:p>
          <w:p w14:paraId="53F19D2C">
            <w:pPr>
              <w:spacing w:line="560" w:lineRule="exact"/>
              <w:jc w:val="center"/>
              <w:rPr>
                <w:rFonts w:ascii="宋体" w:hAnsi="宋体" w:cs="宋体"/>
                <w:sz w:val="32"/>
                <w:szCs w:val="32"/>
              </w:rPr>
            </w:pPr>
          </w:p>
          <w:p w14:paraId="26619881">
            <w:pPr>
              <w:spacing w:line="560" w:lineRule="exact"/>
              <w:jc w:val="center"/>
              <w:rPr>
                <w:rFonts w:ascii="宋体" w:hAnsi="宋体" w:cs="宋体"/>
                <w:sz w:val="32"/>
                <w:szCs w:val="32"/>
              </w:rPr>
            </w:pPr>
          </w:p>
          <w:p w14:paraId="7929473D">
            <w:pPr>
              <w:spacing w:line="560" w:lineRule="exact"/>
              <w:jc w:val="center"/>
              <w:rPr>
                <w:rFonts w:ascii="宋体" w:hAnsi="宋体" w:cs="宋体"/>
                <w:sz w:val="32"/>
                <w:szCs w:val="32"/>
              </w:rPr>
            </w:pPr>
          </w:p>
          <w:p w14:paraId="0CC485E7">
            <w:pPr>
              <w:spacing w:line="560" w:lineRule="exact"/>
              <w:jc w:val="center"/>
              <w:rPr>
                <w:rFonts w:ascii="宋体" w:hAnsi="宋体" w:cs="宋体"/>
                <w:sz w:val="32"/>
                <w:szCs w:val="32"/>
              </w:rPr>
            </w:pPr>
          </w:p>
          <w:p w14:paraId="354E76F7">
            <w:pPr>
              <w:spacing w:line="560" w:lineRule="exact"/>
              <w:jc w:val="center"/>
              <w:rPr>
                <w:rFonts w:ascii="宋体" w:hAnsi="宋体" w:cs="宋体"/>
                <w:sz w:val="32"/>
                <w:szCs w:val="32"/>
              </w:rPr>
            </w:pPr>
            <w:r>
              <w:rPr>
                <w:rFonts w:hint="eastAsia" w:ascii="宋体" w:hAnsi="宋体" w:cs="宋体"/>
                <w:sz w:val="32"/>
                <w:szCs w:val="32"/>
              </w:rPr>
              <w:t>乙方</w:t>
            </w:r>
          </w:p>
        </w:tc>
        <w:tc>
          <w:tcPr>
            <w:tcW w:w="1701" w:type="dxa"/>
            <w:noWrap w:val="0"/>
            <w:vAlign w:val="top"/>
          </w:tcPr>
          <w:p w14:paraId="769B63D3">
            <w:pPr>
              <w:spacing w:line="560" w:lineRule="exact"/>
              <w:jc w:val="center"/>
              <w:rPr>
                <w:rFonts w:ascii="宋体" w:hAnsi="宋体" w:cs="宋体"/>
                <w:sz w:val="32"/>
                <w:szCs w:val="32"/>
              </w:rPr>
            </w:pPr>
            <w:r>
              <w:rPr>
                <w:rFonts w:hint="eastAsia" w:ascii="宋体" w:hAnsi="宋体" w:cs="宋体"/>
                <w:sz w:val="32"/>
                <w:szCs w:val="32"/>
              </w:rPr>
              <w:t>单位全称</w:t>
            </w:r>
          </w:p>
        </w:tc>
        <w:tc>
          <w:tcPr>
            <w:tcW w:w="6237" w:type="dxa"/>
            <w:noWrap w:val="0"/>
            <w:vAlign w:val="top"/>
          </w:tcPr>
          <w:p w14:paraId="7C087E1C">
            <w:pPr>
              <w:spacing w:line="560" w:lineRule="exact"/>
              <w:jc w:val="center"/>
              <w:rPr>
                <w:rFonts w:ascii="宋体" w:hAnsi="宋体" w:cs="宋体"/>
                <w:sz w:val="32"/>
                <w:szCs w:val="32"/>
              </w:rPr>
            </w:pPr>
          </w:p>
        </w:tc>
      </w:tr>
      <w:tr w14:paraId="4843A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993" w:type="dxa"/>
            <w:vMerge w:val="continue"/>
            <w:noWrap w:val="0"/>
            <w:vAlign w:val="top"/>
          </w:tcPr>
          <w:p w14:paraId="01B43E78">
            <w:pPr>
              <w:spacing w:line="560" w:lineRule="exact"/>
              <w:jc w:val="center"/>
              <w:rPr>
                <w:rFonts w:ascii="宋体" w:hAnsi="宋体" w:cs="宋体"/>
                <w:sz w:val="32"/>
                <w:szCs w:val="32"/>
              </w:rPr>
            </w:pPr>
          </w:p>
        </w:tc>
        <w:tc>
          <w:tcPr>
            <w:tcW w:w="1701" w:type="dxa"/>
            <w:noWrap w:val="0"/>
            <w:vAlign w:val="top"/>
          </w:tcPr>
          <w:p w14:paraId="5EEDE857">
            <w:pPr>
              <w:spacing w:line="560" w:lineRule="exact"/>
              <w:jc w:val="center"/>
              <w:rPr>
                <w:rFonts w:ascii="宋体" w:hAnsi="宋体" w:cs="宋体"/>
                <w:sz w:val="32"/>
                <w:szCs w:val="32"/>
              </w:rPr>
            </w:pPr>
            <w:r>
              <w:rPr>
                <w:rFonts w:hint="eastAsia" w:ascii="宋体" w:hAnsi="宋体" w:cs="宋体"/>
                <w:sz w:val="32"/>
                <w:szCs w:val="32"/>
              </w:rPr>
              <w:t>通讯地址</w:t>
            </w:r>
          </w:p>
        </w:tc>
        <w:tc>
          <w:tcPr>
            <w:tcW w:w="6237" w:type="dxa"/>
            <w:noWrap w:val="0"/>
            <w:vAlign w:val="top"/>
          </w:tcPr>
          <w:p w14:paraId="28BA6CE6">
            <w:pPr>
              <w:spacing w:line="560" w:lineRule="exact"/>
              <w:jc w:val="center"/>
              <w:rPr>
                <w:rFonts w:ascii="宋体" w:hAnsi="宋体" w:cs="宋体"/>
                <w:sz w:val="32"/>
                <w:szCs w:val="32"/>
              </w:rPr>
            </w:pPr>
          </w:p>
        </w:tc>
      </w:tr>
      <w:tr w14:paraId="287BD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993" w:type="dxa"/>
            <w:vMerge w:val="continue"/>
            <w:noWrap w:val="0"/>
            <w:vAlign w:val="top"/>
          </w:tcPr>
          <w:p w14:paraId="30716E13">
            <w:pPr>
              <w:spacing w:line="560" w:lineRule="exact"/>
              <w:jc w:val="center"/>
              <w:rPr>
                <w:rFonts w:ascii="宋体" w:hAnsi="宋体" w:cs="宋体"/>
                <w:sz w:val="32"/>
                <w:szCs w:val="32"/>
              </w:rPr>
            </w:pPr>
          </w:p>
        </w:tc>
        <w:tc>
          <w:tcPr>
            <w:tcW w:w="1701" w:type="dxa"/>
            <w:noWrap w:val="0"/>
            <w:vAlign w:val="top"/>
          </w:tcPr>
          <w:p w14:paraId="406E011B">
            <w:pPr>
              <w:spacing w:line="560" w:lineRule="exact"/>
              <w:jc w:val="center"/>
              <w:rPr>
                <w:rFonts w:ascii="宋体" w:hAnsi="宋体" w:cs="宋体"/>
                <w:sz w:val="32"/>
                <w:szCs w:val="32"/>
              </w:rPr>
            </w:pPr>
            <w:r>
              <w:rPr>
                <w:rFonts w:hint="eastAsia" w:ascii="宋体" w:hAnsi="宋体" w:cs="宋体"/>
                <w:sz w:val="32"/>
                <w:szCs w:val="32"/>
              </w:rPr>
              <w:t>电话</w:t>
            </w:r>
          </w:p>
        </w:tc>
        <w:tc>
          <w:tcPr>
            <w:tcW w:w="6237" w:type="dxa"/>
            <w:noWrap w:val="0"/>
            <w:vAlign w:val="top"/>
          </w:tcPr>
          <w:p w14:paraId="3C299E6E">
            <w:pPr>
              <w:spacing w:line="560" w:lineRule="exact"/>
              <w:jc w:val="center"/>
              <w:rPr>
                <w:rFonts w:ascii="宋体" w:hAnsi="宋体" w:cs="宋体"/>
                <w:sz w:val="32"/>
                <w:szCs w:val="32"/>
              </w:rPr>
            </w:pPr>
          </w:p>
        </w:tc>
      </w:tr>
      <w:tr w14:paraId="39F20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993" w:type="dxa"/>
            <w:vMerge w:val="continue"/>
            <w:noWrap w:val="0"/>
            <w:vAlign w:val="top"/>
          </w:tcPr>
          <w:p w14:paraId="2E1F97A7">
            <w:pPr>
              <w:spacing w:line="560" w:lineRule="exact"/>
              <w:jc w:val="center"/>
              <w:rPr>
                <w:rFonts w:ascii="宋体" w:hAnsi="宋体" w:cs="宋体"/>
                <w:sz w:val="32"/>
                <w:szCs w:val="32"/>
              </w:rPr>
            </w:pPr>
          </w:p>
        </w:tc>
        <w:tc>
          <w:tcPr>
            <w:tcW w:w="1701" w:type="dxa"/>
            <w:noWrap w:val="0"/>
            <w:vAlign w:val="top"/>
          </w:tcPr>
          <w:p w14:paraId="2BA40EE5">
            <w:pPr>
              <w:spacing w:line="560" w:lineRule="exact"/>
              <w:jc w:val="center"/>
              <w:rPr>
                <w:rFonts w:ascii="宋体" w:hAnsi="宋体" w:cs="宋体"/>
                <w:sz w:val="32"/>
                <w:szCs w:val="32"/>
              </w:rPr>
            </w:pPr>
            <w:r>
              <w:rPr>
                <w:rFonts w:hint="eastAsia" w:ascii="宋体" w:hAnsi="宋体" w:cs="宋体"/>
                <w:sz w:val="32"/>
                <w:szCs w:val="32"/>
              </w:rPr>
              <w:t>传真</w:t>
            </w:r>
          </w:p>
        </w:tc>
        <w:tc>
          <w:tcPr>
            <w:tcW w:w="6237" w:type="dxa"/>
            <w:noWrap w:val="0"/>
            <w:vAlign w:val="top"/>
          </w:tcPr>
          <w:p w14:paraId="589BB526">
            <w:pPr>
              <w:spacing w:line="560" w:lineRule="exact"/>
              <w:jc w:val="center"/>
              <w:rPr>
                <w:rFonts w:ascii="宋体" w:hAnsi="宋体" w:cs="宋体"/>
                <w:sz w:val="32"/>
                <w:szCs w:val="32"/>
              </w:rPr>
            </w:pPr>
          </w:p>
        </w:tc>
      </w:tr>
      <w:tr w14:paraId="562E6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993" w:type="dxa"/>
            <w:vMerge w:val="continue"/>
            <w:noWrap w:val="0"/>
            <w:vAlign w:val="top"/>
          </w:tcPr>
          <w:p w14:paraId="47E48519">
            <w:pPr>
              <w:spacing w:line="560" w:lineRule="exact"/>
              <w:jc w:val="center"/>
              <w:rPr>
                <w:rFonts w:ascii="宋体" w:hAnsi="宋体" w:cs="宋体"/>
                <w:sz w:val="32"/>
                <w:szCs w:val="32"/>
              </w:rPr>
            </w:pPr>
          </w:p>
        </w:tc>
        <w:tc>
          <w:tcPr>
            <w:tcW w:w="1701" w:type="dxa"/>
            <w:noWrap w:val="0"/>
            <w:vAlign w:val="top"/>
          </w:tcPr>
          <w:p w14:paraId="2004510A">
            <w:pPr>
              <w:spacing w:line="560" w:lineRule="exact"/>
              <w:jc w:val="center"/>
              <w:rPr>
                <w:rFonts w:ascii="宋体" w:hAnsi="宋体" w:cs="宋体"/>
                <w:sz w:val="32"/>
                <w:szCs w:val="32"/>
              </w:rPr>
            </w:pPr>
            <w:r>
              <w:rPr>
                <w:rFonts w:hint="eastAsia" w:ascii="宋体" w:hAnsi="宋体" w:cs="宋体"/>
                <w:sz w:val="32"/>
                <w:szCs w:val="32"/>
              </w:rPr>
              <w:t>户名</w:t>
            </w:r>
          </w:p>
        </w:tc>
        <w:tc>
          <w:tcPr>
            <w:tcW w:w="6237" w:type="dxa"/>
            <w:noWrap w:val="0"/>
            <w:vAlign w:val="top"/>
          </w:tcPr>
          <w:p w14:paraId="718BA985">
            <w:pPr>
              <w:spacing w:line="560" w:lineRule="exact"/>
              <w:jc w:val="center"/>
              <w:rPr>
                <w:rFonts w:ascii="宋体" w:hAnsi="宋体" w:cs="宋体"/>
                <w:sz w:val="32"/>
                <w:szCs w:val="32"/>
              </w:rPr>
            </w:pPr>
          </w:p>
        </w:tc>
      </w:tr>
      <w:tr w14:paraId="40894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993" w:type="dxa"/>
            <w:vMerge w:val="continue"/>
            <w:noWrap w:val="0"/>
            <w:vAlign w:val="top"/>
          </w:tcPr>
          <w:p w14:paraId="1BB7271D">
            <w:pPr>
              <w:spacing w:line="560" w:lineRule="exact"/>
              <w:jc w:val="center"/>
              <w:rPr>
                <w:rFonts w:ascii="宋体" w:hAnsi="宋体" w:cs="宋体"/>
                <w:sz w:val="32"/>
                <w:szCs w:val="32"/>
              </w:rPr>
            </w:pPr>
          </w:p>
        </w:tc>
        <w:tc>
          <w:tcPr>
            <w:tcW w:w="1701" w:type="dxa"/>
            <w:noWrap w:val="0"/>
            <w:vAlign w:val="top"/>
          </w:tcPr>
          <w:p w14:paraId="17658656">
            <w:pPr>
              <w:spacing w:line="560" w:lineRule="exact"/>
              <w:jc w:val="center"/>
              <w:rPr>
                <w:rFonts w:ascii="宋体" w:hAnsi="宋体" w:cs="宋体"/>
                <w:sz w:val="32"/>
                <w:szCs w:val="32"/>
              </w:rPr>
            </w:pPr>
            <w:r>
              <w:rPr>
                <w:rFonts w:hint="eastAsia" w:ascii="宋体" w:hAnsi="宋体" w:cs="宋体"/>
                <w:sz w:val="32"/>
                <w:szCs w:val="32"/>
              </w:rPr>
              <w:t>开户银行</w:t>
            </w:r>
          </w:p>
        </w:tc>
        <w:tc>
          <w:tcPr>
            <w:tcW w:w="6237" w:type="dxa"/>
            <w:noWrap w:val="0"/>
            <w:vAlign w:val="top"/>
          </w:tcPr>
          <w:p w14:paraId="13725A90">
            <w:pPr>
              <w:spacing w:line="560" w:lineRule="exact"/>
              <w:jc w:val="center"/>
              <w:rPr>
                <w:rFonts w:ascii="宋体" w:hAnsi="宋体" w:cs="宋体"/>
                <w:sz w:val="32"/>
                <w:szCs w:val="32"/>
              </w:rPr>
            </w:pPr>
          </w:p>
        </w:tc>
      </w:tr>
      <w:tr w14:paraId="0017A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993" w:type="dxa"/>
            <w:vMerge w:val="continue"/>
            <w:noWrap w:val="0"/>
            <w:vAlign w:val="top"/>
          </w:tcPr>
          <w:p w14:paraId="7D5D09CE">
            <w:pPr>
              <w:spacing w:line="560" w:lineRule="exact"/>
              <w:jc w:val="center"/>
              <w:rPr>
                <w:rFonts w:ascii="宋体" w:hAnsi="宋体" w:cs="宋体"/>
                <w:sz w:val="32"/>
                <w:szCs w:val="32"/>
              </w:rPr>
            </w:pPr>
          </w:p>
        </w:tc>
        <w:tc>
          <w:tcPr>
            <w:tcW w:w="1701" w:type="dxa"/>
            <w:noWrap w:val="0"/>
            <w:vAlign w:val="top"/>
          </w:tcPr>
          <w:p w14:paraId="1BE27D33">
            <w:pPr>
              <w:spacing w:line="560" w:lineRule="exact"/>
              <w:jc w:val="center"/>
              <w:rPr>
                <w:rFonts w:ascii="宋体" w:hAnsi="宋体" w:cs="宋体"/>
                <w:sz w:val="32"/>
                <w:szCs w:val="32"/>
              </w:rPr>
            </w:pPr>
            <w:r>
              <w:rPr>
                <w:rFonts w:hint="eastAsia" w:ascii="宋体" w:hAnsi="宋体" w:cs="宋体"/>
                <w:sz w:val="32"/>
                <w:szCs w:val="32"/>
              </w:rPr>
              <w:t>账号</w:t>
            </w:r>
          </w:p>
        </w:tc>
        <w:tc>
          <w:tcPr>
            <w:tcW w:w="6237" w:type="dxa"/>
            <w:noWrap w:val="0"/>
            <w:vAlign w:val="top"/>
          </w:tcPr>
          <w:p w14:paraId="56C9AA28">
            <w:pPr>
              <w:spacing w:line="560" w:lineRule="exact"/>
              <w:jc w:val="center"/>
              <w:rPr>
                <w:rFonts w:ascii="宋体" w:hAnsi="宋体" w:cs="宋体"/>
                <w:sz w:val="32"/>
                <w:szCs w:val="32"/>
              </w:rPr>
            </w:pPr>
          </w:p>
        </w:tc>
      </w:tr>
    </w:tbl>
    <w:p w14:paraId="5B1C2C92">
      <w:pPr>
        <w:spacing w:line="560" w:lineRule="exact"/>
        <w:rPr>
          <w:rFonts w:ascii="宋体" w:hAnsi="宋体" w:cs="宋体"/>
          <w:sz w:val="30"/>
          <w:szCs w:val="30"/>
        </w:rPr>
      </w:pPr>
    </w:p>
    <w:p w14:paraId="41FB7C1A">
      <w:pPr>
        <w:spacing w:line="560" w:lineRule="exact"/>
        <w:rPr>
          <w:rFonts w:ascii="宋体" w:hAnsi="宋体" w:cs="宋体"/>
          <w:sz w:val="32"/>
          <w:szCs w:val="32"/>
        </w:rPr>
      </w:pPr>
      <w:r>
        <w:rPr>
          <w:rFonts w:hint="eastAsia" w:ascii="宋体" w:hAnsi="宋体" w:cs="宋体"/>
          <w:sz w:val="32"/>
          <w:szCs w:val="32"/>
        </w:rPr>
        <w:t>甲方（委托方）：</w:t>
      </w:r>
    </w:p>
    <w:p w14:paraId="3E68838D">
      <w:pPr>
        <w:spacing w:line="560" w:lineRule="exact"/>
        <w:rPr>
          <w:rFonts w:ascii="宋体" w:hAnsi="宋体" w:cs="宋体"/>
          <w:sz w:val="32"/>
          <w:szCs w:val="32"/>
        </w:rPr>
      </w:pPr>
      <w:r>
        <w:rPr>
          <w:rFonts w:hint="eastAsia" w:ascii="宋体" w:hAnsi="宋体" w:cs="宋体"/>
          <w:sz w:val="32"/>
          <w:szCs w:val="32"/>
        </w:rPr>
        <w:t>法定代表人/委托代理人：</w:t>
      </w:r>
    </w:p>
    <w:p w14:paraId="2C780590">
      <w:pPr>
        <w:spacing w:line="560" w:lineRule="exact"/>
        <w:ind w:firstLine="800" w:firstLineChars="250"/>
        <w:rPr>
          <w:rFonts w:hint="eastAsia" w:eastAsia="宋体"/>
          <w:sz w:val="32"/>
          <w:szCs w:val="32"/>
          <w:lang w:eastAsia="zh-CN"/>
        </w:rPr>
      </w:pPr>
      <w:r>
        <w:rPr>
          <w:rFonts w:hint="eastAsia" w:ascii="宋体" w:hAnsi="宋体" w:cs="宋体"/>
          <w:sz w:val="32"/>
          <w:szCs w:val="32"/>
        </w:rPr>
        <w:t>年   月    日</w:t>
      </w:r>
    </w:p>
    <w:p w14:paraId="028AE189">
      <w:pPr>
        <w:spacing w:line="560" w:lineRule="exact"/>
        <w:rPr>
          <w:rFonts w:hint="eastAsia" w:ascii="宋体" w:hAnsi="宋体" w:cs="宋体"/>
          <w:sz w:val="32"/>
          <w:szCs w:val="32"/>
        </w:rPr>
      </w:pPr>
      <w:r>
        <w:rPr>
          <w:rFonts w:hint="eastAsia" w:ascii="宋体" w:hAnsi="宋体" w:cs="宋体"/>
          <w:sz w:val="32"/>
          <w:szCs w:val="32"/>
        </w:rPr>
        <w:t>乙方（受托方）：</w:t>
      </w:r>
    </w:p>
    <w:p w14:paraId="42339C2E">
      <w:pPr>
        <w:spacing w:line="560" w:lineRule="exact"/>
        <w:rPr>
          <w:rFonts w:ascii="宋体" w:hAnsi="宋体" w:cs="宋体"/>
          <w:sz w:val="32"/>
          <w:szCs w:val="32"/>
        </w:rPr>
      </w:pPr>
      <w:r>
        <w:rPr>
          <w:rFonts w:hint="eastAsia" w:ascii="宋体" w:hAnsi="宋体" w:cs="宋体"/>
          <w:sz w:val="32"/>
          <w:szCs w:val="32"/>
        </w:rPr>
        <w:t>法定代表人/委托代理人：</w:t>
      </w:r>
    </w:p>
    <w:p w14:paraId="7EB23063">
      <w:pPr>
        <w:spacing w:line="560" w:lineRule="exact"/>
        <w:ind w:firstLine="800" w:firstLineChars="250"/>
        <w:rPr>
          <w:rFonts w:hint="eastAsia" w:ascii="宋体" w:hAnsi="宋体" w:cs="宋体"/>
          <w:sz w:val="32"/>
          <w:szCs w:val="32"/>
        </w:rPr>
      </w:pPr>
      <w:r>
        <w:rPr>
          <w:rFonts w:hint="eastAsia" w:ascii="宋体" w:hAnsi="宋体" w:cs="宋体"/>
          <w:sz w:val="32"/>
          <w:szCs w:val="32"/>
        </w:rPr>
        <w:t>年   月    日</w:t>
      </w:r>
    </w:p>
    <w:p w14:paraId="0965F897">
      <w:pPr>
        <w:pStyle w:val="8"/>
      </w:pPr>
    </w:p>
    <w:p w14:paraId="16FD2DBF">
      <w:pPr>
        <w:spacing w:line="560" w:lineRule="exact"/>
        <w:rPr>
          <w:rFonts w:ascii="宋体" w:hAnsi="宋体" w:cs="宋体"/>
          <w:b/>
          <w:bCs/>
          <w:sz w:val="32"/>
          <w:szCs w:val="32"/>
        </w:rPr>
      </w:pPr>
      <w:r>
        <w:rPr>
          <w:rFonts w:hint="eastAsia" w:ascii="宋体" w:hAnsi="宋体" w:cs="宋体"/>
          <w:b/>
          <w:bCs/>
          <w:sz w:val="32"/>
          <w:szCs w:val="32"/>
        </w:rPr>
        <w:br w:type="page"/>
      </w:r>
      <w:r>
        <w:rPr>
          <w:rFonts w:hint="eastAsia" w:ascii="宋体" w:hAnsi="宋体" w:cs="宋体"/>
          <w:b/>
          <w:bCs/>
          <w:sz w:val="32"/>
          <w:szCs w:val="32"/>
        </w:rPr>
        <w:t>附件：</w:t>
      </w:r>
    </w:p>
    <w:p w14:paraId="4827DAAE">
      <w:pPr>
        <w:spacing w:line="560" w:lineRule="exact"/>
        <w:jc w:val="center"/>
        <w:rPr>
          <w:rFonts w:ascii="宋体" w:hAnsi="宋体" w:cs="宋体"/>
          <w:b/>
          <w:bCs/>
          <w:sz w:val="32"/>
          <w:szCs w:val="32"/>
        </w:rPr>
      </w:pPr>
      <w:r>
        <w:rPr>
          <w:rFonts w:hint="eastAsia" w:ascii="宋体" w:hAnsi="宋体" w:cs="宋体"/>
          <w:b/>
          <w:bCs/>
          <w:sz w:val="32"/>
          <w:szCs w:val="32"/>
        </w:rPr>
        <w:t>西安曲江新区事业资产管理中心</w:t>
      </w:r>
    </w:p>
    <w:p w14:paraId="08D65E11">
      <w:pPr>
        <w:spacing w:line="560" w:lineRule="exact"/>
        <w:jc w:val="center"/>
        <w:rPr>
          <w:rFonts w:ascii="宋体" w:hAnsi="宋体" w:cs="宋体"/>
          <w:b/>
          <w:bCs/>
          <w:sz w:val="32"/>
          <w:szCs w:val="32"/>
        </w:rPr>
      </w:pPr>
      <w:r>
        <w:rPr>
          <w:rFonts w:hint="eastAsia" w:ascii="宋体" w:hAnsi="宋体" w:cs="宋体"/>
          <w:b/>
          <w:bCs/>
          <w:sz w:val="32"/>
          <w:szCs w:val="32"/>
        </w:rPr>
        <w:t>第三方检测人员管理规定及服务要求</w:t>
      </w:r>
    </w:p>
    <w:p w14:paraId="2E071A80">
      <w:pPr>
        <w:spacing w:line="560" w:lineRule="exact"/>
        <w:jc w:val="center"/>
        <w:rPr>
          <w:rFonts w:ascii="宋体" w:hAnsi="宋体" w:cs="宋体"/>
          <w:b/>
          <w:bCs/>
          <w:sz w:val="32"/>
          <w:szCs w:val="32"/>
        </w:rPr>
      </w:pPr>
    </w:p>
    <w:p w14:paraId="18E0207C">
      <w:pPr>
        <w:numPr>
          <w:ilvl w:val="0"/>
          <w:numId w:val="1"/>
        </w:numPr>
        <w:spacing w:line="560" w:lineRule="exact"/>
        <w:jc w:val="center"/>
        <w:rPr>
          <w:rFonts w:ascii="宋体" w:hAnsi="宋体" w:cs="宋体"/>
          <w:b/>
          <w:bCs/>
          <w:sz w:val="32"/>
          <w:szCs w:val="32"/>
        </w:rPr>
      </w:pPr>
      <w:r>
        <w:rPr>
          <w:rFonts w:hint="eastAsia" w:ascii="宋体" w:hAnsi="宋体" w:cs="宋体"/>
          <w:b/>
          <w:bCs/>
          <w:sz w:val="32"/>
          <w:szCs w:val="32"/>
        </w:rPr>
        <w:t>总则</w:t>
      </w:r>
    </w:p>
    <w:p w14:paraId="41746DF7">
      <w:pPr>
        <w:numPr>
          <w:ilvl w:val="0"/>
          <w:numId w:val="2"/>
        </w:numPr>
        <w:spacing w:line="560" w:lineRule="exact"/>
        <w:rPr>
          <w:rFonts w:ascii="宋体" w:hAnsi="宋体" w:cs="宋体"/>
          <w:sz w:val="32"/>
          <w:szCs w:val="32"/>
        </w:rPr>
      </w:pPr>
      <w:r>
        <w:rPr>
          <w:rFonts w:hint="eastAsia" w:ascii="宋体" w:hAnsi="宋体" w:cs="宋体"/>
          <w:sz w:val="32"/>
          <w:szCs w:val="32"/>
        </w:rPr>
        <w:t>为规范第三方检测机构工作人员的服务行为，提高服务质量，明确责任归属，完善第三方检测机构服务体系，特制定本制度。</w:t>
      </w:r>
    </w:p>
    <w:p w14:paraId="50DCBB79">
      <w:pPr>
        <w:numPr>
          <w:ilvl w:val="0"/>
          <w:numId w:val="2"/>
        </w:numPr>
        <w:spacing w:line="560" w:lineRule="exact"/>
        <w:rPr>
          <w:rFonts w:ascii="宋体" w:hAnsi="宋体" w:cs="宋体"/>
          <w:sz w:val="32"/>
          <w:szCs w:val="32"/>
        </w:rPr>
      </w:pPr>
      <w:r>
        <w:rPr>
          <w:rFonts w:hint="eastAsia" w:ascii="宋体" w:hAnsi="宋体" w:cs="宋体"/>
          <w:sz w:val="32"/>
          <w:szCs w:val="32"/>
        </w:rPr>
        <w:t xml:space="preserve"> 第三方检测机构是指独立于环保部门和被检测方两个主体之外的第三方，以公正、权威的非当事人身份，依据有关法律、标准或合同所进行的环境检测活动。</w:t>
      </w:r>
    </w:p>
    <w:p w14:paraId="1BF91CC2">
      <w:pPr>
        <w:numPr>
          <w:ilvl w:val="0"/>
          <w:numId w:val="1"/>
        </w:numPr>
        <w:spacing w:line="560" w:lineRule="exact"/>
        <w:jc w:val="center"/>
        <w:rPr>
          <w:rFonts w:ascii="宋体" w:hAnsi="宋体" w:cs="宋体"/>
          <w:b/>
          <w:bCs/>
          <w:sz w:val="32"/>
          <w:szCs w:val="32"/>
        </w:rPr>
      </w:pPr>
      <w:r>
        <w:rPr>
          <w:rFonts w:hint="eastAsia" w:ascii="宋体" w:hAnsi="宋体" w:cs="宋体"/>
          <w:b/>
          <w:bCs/>
          <w:sz w:val="32"/>
          <w:szCs w:val="32"/>
        </w:rPr>
        <w:t>第三方检测机构的服务范围</w:t>
      </w:r>
    </w:p>
    <w:p w14:paraId="3FF76B1F">
      <w:pPr>
        <w:numPr>
          <w:ilvl w:val="0"/>
          <w:numId w:val="2"/>
        </w:numPr>
        <w:spacing w:line="560" w:lineRule="exact"/>
        <w:rPr>
          <w:rFonts w:ascii="宋体" w:hAnsi="宋体" w:cs="宋体"/>
          <w:sz w:val="32"/>
          <w:szCs w:val="32"/>
        </w:rPr>
      </w:pPr>
      <w:r>
        <w:rPr>
          <w:rFonts w:hint="eastAsia" w:ascii="宋体" w:hAnsi="宋体" w:cs="宋体"/>
          <w:sz w:val="32"/>
          <w:szCs w:val="32"/>
        </w:rPr>
        <w:t xml:space="preserve"> 第三方检测机构提供的服务包括检测人员、仪器设备、保障车辆、检测报告、技术保障、公示检测流程及国家标准。</w:t>
      </w:r>
    </w:p>
    <w:p w14:paraId="4D5F7734">
      <w:pPr>
        <w:numPr>
          <w:ilvl w:val="0"/>
          <w:numId w:val="2"/>
        </w:numPr>
        <w:spacing w:line="560" w:lineRule="exact"/>
        <w:rPr>
          <w:rFonts w:ascii="宋体" w:hAnsi="宋体" w:cs="宋体"/>
          <w:sz w:val="32"/>
          <w:szCs w:val="32"/>
        </w:rPr>
      </w:pPr>
      <w:r>
        <w:rPr>
          <w:rFonts w:hint="eastAsia" w:ascii="宋体" w:hAnsi="宋体" w:cs="宋体"/>
          <w:sz w:val="32"/>
          <w:szCs w:val="32"/>
        </w:rPr>
        <w:t>检测人员：提供检测人员，熟悉掌握按照国标要求对污染治理设施等进行检测操作，须持有上岗证。</w:t>
      </w:r>
    </w:p>
    <w:p w14:paraId="555410B5">
      <w:pPr>
        <w:numPr>
          <w:ilvl w:val="0"/>
          <w:numId w:val="2"/>
        </w:numPr>
        <w:spacing w:line="560" w:lineRule="exact"/>
        <w:rPr>
          <w:rFonts w:ascii="宋体" w:hAnsi="宋体" w:cs="宋体"/>
          <w:sz w:val="32"/>
          <w:szCs w:val="32"/>
        </w:rPr>
      </w:pPr>
      <w:r>
        <w:rPr>
          <w:rFonts w:hint="eastAsia" w:ascii="宋体" w:hAnsi="宋体" w:cs="宋体"/>
          <w:sz w:val="32"/>
          <w:szCs w:val="32"/>
        </w:rPr>
        <w:t xml:space="preserve"> 仪器设备：提供采样仪器及其附属配件、分析仪器等，确保仪器能够合法正常使用，并负责现场仪器设备的合理摆放。</w:t>
      </w:r>
    </w:p>
    <w:p w14:paraId="05FB3362">
      <w:pPr>
        <w:numPr>
          <w:ilvl w:val="0"/>
          <w:numId w:val="2"/>
        </w:numPr>
        <w:spacing w:line="560" w:lineRule="exact"/>
        <w:rPr>
          <w:rFonts w:ascii="宋体" w:hAnsi="宋体" w:cs="宋体"/>
          <w:sz w:val="32"/>
          <w:szCs w:val="32"/>
        </w:rPr>
      </w:pPr>
      <w:r>
        <w:rPr>
          <w:rFonts w:hint="eastAsia" w:ascii="宋体" w:hAnsi="宋体" w:cs="宋体"/>
          <w:sz w:val="32"/>
          <w:szCs w:val="32"/>
        </w:rPr>
        <w:t>检测报告：为环保部门提供的检验报告应具有法律效力。</w:t>
      </w:r>
    </w:p>
    <w:p w14:paraId="1A242B56">
      <w:pPr>
        <w:numPr>
          <w:ilvl w:val="0"/>
          <w:numId w:val="1"/>
        </w:numPr>
        <w:spacing w:line="560" w:lineRule="exact"/>
        <w:ind w:firstLine="420"/>
        <w:jc w:val="center"/>
        <w:rPr>
          <w:rFonts w:ascii="宋体" w:hAnsi="宋体" w:cs="宋体"/>
          <w:b/>
          <w:bCs/>
          <w:sz w:val="32"/>
          <w:szCs w:val="32"/>
        </w:rPr>
      </w:pPr>
      <w:r>
        <w:rPr>
          <w:rFonts w:hint="eastAsia" w:ascii="宋体" w:hAnsi="宋体" w:cs="宋体"/>
          <w:b/>
          <w:bCs/>
          <w:sz w:val="32"/>
          <w:szCs w:val="32"/>
        </w:rPr>
        <w:t>服务要求</w:t>
      </w:r>
    </w:p>
    <w:p w14:paraId="61913B04">
      <w:pPr>
        <w:numPr>
          <w:ilvl w:val="0"/>
          <w:numId w:val="2"/>
        </w:numPr>
        <w:spacing w:line="560" w:lineRule="exact"/>
        <w:rPr>
          <w:rFonts w:ascii="宋体" w:hAnsi="宋体" w:cs="宋体"/>
          <w:sz w:val="32"/>
          <w:szCs w:val="32"/>
        </w:rPr>
      </w:pPr>
      <w:r>
        <w:rPr>
          <w:rFonts w:hint="eastAsia" w:ascii="宋体" w:hAnsi="宋体" w:cs="宋体"/>
          <w:sz w:val="32"/>
          <w:szCs w:val="32"/>
        </w:rPr>
        <w:t>检测机构指定专门的工作人员进行业务对接工作。</w:t>
      </w:r>
    </w:p>
    <w:p w14:paraId="261053A5">
      <w:pPr>
        <w:numPr>
          <w:ilvl w:val="0"/>
          <w:numId w:val="2"/>
        </w:numPr>
        <w:spacing w:line="560" w:lineRule="exact"/>
        <w:rPr>
          <w:rFonts w:ascii="宋体" w:hAnsi="宋体" w:cs="宋体"/>
          <w:sz w:val="32"/>
          <w:szCs w:val="32"/>
        </w:rPr>
      </w:pPr>
      <w:r>
        <w:rPr>
          <w:rFonts w:hint="eastAsia" w:ascii="宋体" w:hAnsi="宋体" w:cs="宋体"/>
          <w:sz w:val="32"/>
          <w:szCs w:val="32"/>
        </w:rPr>
        <w:t>提供服务计划及方案：拟定本项目的监测服务方案，包括服务内容、服务措施、服务质量和服务保障等；</w:t>
      </w:r>
    </w:p>
    <w:p w14:paraId="74962DE0">
      <w:pPr>
        <w:numPr>
          <w:ilvl w:val="0"/>
          <w:numId w:val="2"/>
        </w:numPr>
        <w:spacing w:line="560" w:lineRule="exact"/>
        <w:rPr>
          <w:rFonts w:ascii="宋体" w:hAnsi="宋体" w:cs="宋体"/>
          <w:sz w:val="32"/>
          <w:szCs w:val="32"/>
        </w:rPr>
      </w:pPr>
      <w:r>
        <w:rPr>
          <w:rFonts w:hint="eastAsia" w:ascii="宋体" w:hAnsi="宋体" w:cs="宋体"/>
          <w:sz w:val="32"/>
          <w:szCs w:val="32"/>
        </w:rPr>
        <w:t>投标人应遵守有关的国家法律、法规和环境监测管理条例，严格执行环境监测技术规范和质量保证相关要求，遵守保密规定；</w:t>
      </w:r>
    </w:p>
    <w:p w14:paraId="6AADF644">
      <w:pPr>
        <w:numPr>
          <w:ilvl w:val="0"/>
          <w:numId w:val="2"/>
        </w:numPr>
        <w:spacing w:line="560" w:lineRule="exact"/>
        <w:rPr>
          <w:rFonts w:ascii="宋体" w:hAnsi="宋体" w:cs="宋体"/>
          <w:sz w:val="32"/>
          <w:szCs w:val="32"/>
        </w:rPr>
      </w:pPr>
      <w:r>
        <w:rPr>
          <w:rFonts w:hint="eastAsia" w:ascii="宋体" w:hAnsi="宋体" w:cs="宋体"/>
          <w:sz w:val="32"/>
          <w:szCs w:val="32"/>
        </w:rPr>
        <w:t>对委托方技术资料和监测结果保密，未经委托方许可不得擅自向第三方提供任何资料。</w:t>
      </w:r>
    </w:p>
    <w:p w14:paraId="58303467">
      <w:pPr>
        <w:numPr>
          <w:ilvl w:val="0"/>
          <w:numId w:val="1"/>
        </w:numPr>
        <w:spacing w:line="560" w:lineRule="exact"/>
        <w:ind w:firstLine="420"/>
        <w:jc w:val="center"/>
        <w:rPr>
          <w:rFonts w:ascii="宋体" w:hAnsi="宋体" w:cs="宋体"/>
          <w:b/>
          <w:bCs/>
          <w:sz w:val="32"/>
          <w:szCs w:val="32"/>
        </w:rPr>
      </w:pPr>
      <w:r>
        <w:rPr>
          <w:rFonts w:hint="eastAsia" w:ascii="宋体" w:hAnsi="宋体" w:cs="宋体"/>
          <w:b/>
          <w:bCs/>
          <w:sz w:val="32"/>
          <w:szCs w:val="32"/>
        </w:rPr>
        <w:t>法律责任</w:t>
      </w:r>
    </w:p>
    <w:p w14:paraId="567A5475">
      <w:pPr>
        <w:numPr>
          <w:ilvl w:val="0"/>
          <w:numId w:val="2"/>
        </w:numPr>
        <w:spacing w:line="560" w:lineRule="exact"/>
        <w:rPr>
          <w:rFonts w:ascii="宋体" w:hAnsi="宋体" w:cs="宋体"/>
          <w:sz w:val="32"/>
          <w:szCs w:val="32"/>
        </w:rPr>
      </w:pPr>
      <w:r>
        <w:rPr>
          <w:rFonts w:hint="eastAsia" w:ascii="宋体" w:hAnsi="宋体" w:cs="宋体"/>
          <w:sz w:val="32"/>
          <w:szCs w:val="32"/>
        </w:rPr>
        <w:t>第三方检测机构对其所出具的检验报告承担法律责任。</w:t>
      </w:r>
    </w:p>
    <w:p w14:paraId="726FF224">
      <w:pPr>
        <w:numPr>
          <w:ilvl w:val="0"/>
          <w:numId w:val="2"/>
        </w:numPr>
        <w:spacing w:line="560" w:lineRule="exact"/>
        <w:rPr>
          <w:rFonts w:ascii="宋体" w:hAnsi="宋体" w:cs="宋体"/>
          <w:sz w:val="32"/>
          <w:szCs w:val="32"/>
        </w:rPr>
      </w:pPr>
      <w:r>
        <w:rPr>
          <w:rFonts w:hint="eastAsia" w:ascii="宋体" w:hAnsi="宋体" w:cs="宋体"/>
          <w:sz w:val="32"/>
          <w:szCs w:val="32"/>
        </w:rPr>
        <w:t>第三方检测机构服务人员，对其检测行为及检测结果承担法律责任。</w:t>
      </w:r>
    </w:p>
    <w:p w14:paraId="4BE3FE95">
      <w:pPr>
        <w:numPr>
          <w:ilvl w:val="0"/>
          <w:numId w:val="1"/>
        </w:numPr>
        <w:spacing w:line="560" w:lineRule="exact"/>
        <w:ind w:firstLine="420"/>
        <w:jc w:val="center"/>
        <w:rPr>
          <w:rFonts w:ascii="宋体" w:hAnsi="宋体" w:cs="宋体"/>
          <w:b/>
          <w:bCs/>
          <w:sz w:val="32"/>
          <w:szCs w:val="32"/>
        </w:rPr>
      </w:pPr>
      <w:r>
        <w:rPr>
          <w:rFonts w:hint="eastAsia" w:ascii="宋体" w:hAnsi="宋体" w:cs="宋体"/>
          <w:b/>
          <w:bCs/>
          <w:sz w:val="32"/>
          <w:szCs w:val="32"/>
        </w:rPr>
        <w:t>附则</w:t>
      </w:r>
    </w:p>
    <w:p w14:paraId="291A8310">
      <w:pPr>
        <w:numPr>
          <w:ilvl w:val="0"/>
          <w:numId w:val="2"/>
        </w:numPr>
        <w:spacing w:line="560" w:lineRule="exact"/>
        <w:rPr>
          <w:rFonts w:ascii="宋体" w:hAnsi="宋体" w:cs="宋体"/>
          <w:sz w:val="32"/>
          <w:szCs w:val="32"/>
        </w:rPr>
      </w:pPr>
      <w:r>
        <w:rPr>
          <w:rFonts w:hint="eastAsia" w:ascii="宋体" w:hAnsi="宋体" w:cs="宋体"/>
          <w:sz w:val="32"/>
          <w:szCs w:val="32"/>
        </w:rPr>
        <w:t>本办法由西安曲江新区</w:t>
      </w:r>
      <w:r>
        <w:rPr>
          <w:rFonts w:hint="eastAsia"/>
          <w:sz w:val="32"/>
          <w:szCs w:val="32"/>
        </w:rPr>
        <w:t>事业资产管理中心</w:t>
      </w:r>
      <w:r>
        <w:rPr>
          <w:rFonts w:hint="eastAsia" w:ascii="宋体" w:hAnsi="宋体" w:cs="宋体"/>
          <w:sz w:val="32"/>
          <w:szCs w:val="32"/>
        </w:rPr>
        <w:t>负责解释和修改。</w:t>
      </w:r>
    </w:p>
    <w:p w14:paraId="517FD8D1">
      <w:pPr>
        <w:numPr>
          <w:ilvl w:val="0"/>
          <w:numId w:val="2"/>
        </w:numPr>
        <w:spacing w:line="560" w:lineRule="exact"/>
        <w:rPr>
          <w:rFonts w:ascii="宋体" w:hAnsi="宋体" w:cs="宋体"/>
          <w:sz w:val="32"/>
          <w:szCs w:val="32"/>
        </w:rPr>
      </w:pPr>
      <w:r>
        <w:rPr>
          <w:rFonts w:hint="eastAsia" w:ascii="宋体" w:hAnsi="宋体" w:cs="宋体"/>
          <w:sz w:val="32"/>
          <w:szCs w:val="32"/>
        </w:rPr>
        <w:t>本办法自合同生效之日开始执行。</w:t>
      </w:r>
    </w:p>
    <w:p w14:paraId="0438FD8C">
      <w:pPr>
        <w:pStyle w:val="7"/>
        <w:shd w:val="clear" w:color="auto" w:fill="FFFFFF"/>
        <w:spacing w:line="560" w:lineRule="exact"/>
        <w:rPr>
          <w:rFonts w:ascii="仿宋_GB2312" w:eastAsia="仿宋_GB2312"/>
          <w:b/>
          <w:bCs/>
          <w:sz w:val="32"/>
          <w:szCs w:val="32"/>
          <w:lang w:eastAsia="zh-CN"/>
        </w:rPr>
      </w:pPr>
    </w:p>
    <w:sectPr>
      <w:footerReference r:id="rId3" w:type="default"/>
      <w:pgSz w:w="11906" w:h="16838"/>
      <w:pgMar w:top="1276" w:right="1800" w:bottom="156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04F8B">
    <w:pPr>
      <w:pStyle w:val="5"/>
      <w:rPr>
        <w:rFonts w:hint="eastAsia"/>
      </w:rPr>
    </w:pPr>
  </w:p>
  <w:p w14:paraId="785C2E7C">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E39B126">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lang/>
                            </w:rPr>
                            <w:t>15</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lang/>
                            </w:rPr>
                            <w:t>15</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2E39B126">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lang/>
                      </w:rPr>
                      <w:t>15</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lang/>
                      </w:rPr>
                      <w:t>15</w:t>
                    </w:r>
                    <w:r>
                      <w:fldChar w:fldCharType="end"/>
                    </w:r>
                    <w:r>
                      <w:rPr>
                        <w:rFonts w:hint="eastAsia"/>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309FF9"/>
    <w:multiLevelType w:val="singleLevel"/>
    <w:tmpl w:val="5A309FF9"/>
    <w:lvl w:ilvl="0" w:tentative="0">
      <w:start w:val="1"/>
      <w:numFmt w:val="chineseCounting"/>
      <w:suff w:val="space"/>
      <w:lvlText w:val="第%1部分"/>
      <w:lvlJc w:val="left"/>
    </w:lvl>
  </w:abstractNum>
  <w:abstractNum w:abstractNumId="1">
    <w:nsid w:val="5A30A056"/>
    <w:multiLevelType w:val="singleLevel"/>
    <w:tmpl w:val="5A30A056"/>
    <w:lvl w:ilvl="0" w:tentative="0">
      <w:start w:val="1"/>
      <w:numFmt w:val="chineseCounting"/>
      <w:suff w:val="space"/>
      <w:lvlText w:val="第%1条"/>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zYmFlZDJmMzRmMWYxZDE2ODUyMGQ2YTRlN2FhOGYifQ=="/>
  </w:docVars>
  <w:rsids>
    <w:rsidRoot w:val="00543B66"/>
    <w:rsid w:val="0002142D"/>
    <w:rsid w:val="00042D42"/>
    <w:rsid w:val="00044011"/>
    <w:rsid w:val="0006215F"/>
    <w:rsid w:val="00083879"/>
    <w:rsid w:val="00096C0A"/>
    <w:rsid w:val="001173F2"/>
    <w:rsid w:val="00182B20"/>
    <w:rsid w:val="001E2DF2"/>
    <w:rsid w:val="001F26E3"/>
    <w:rsid w:val="001F6E4E"/>
    <w:rsid w:val="002161CB"/>
    <w:rsid w:val="00232FB8"/>
    <w:rsid w:val="00256D51"/>
    <w:rsid w:val="00276084"/>
    <w:rsid w:val="002B6CDF"/>
    <w:rsid w:val="002C4987"/>
    <w:rsid w:val="00303F16"/>
    <w:rsid w:val="003435D0"/>
    <w:rsid w:val="0034711C"/>
    <w:rsid w:val="003B047F"/>
    <w:rsid w:val="003E0DEF"/>
    <w:rsid w:val="003E4E20"/>
    <w:rsid w:val="004148AE"/>
    <w:rsid w:val="00435698"/>
    <w:rsid w:val="004571E0"/>
    <w:rsid w:val="004A27FC"/>
    <w:rsid w:val="004A6BC8"/>
    <w:rsid w:val="004B1805"/>
    <w:rsid w:val="004B4348"/>
    <w:rsid w:val="004C6C8B"/>
    <w:rsid w:val="0052697B"/>
    <w:rsid w:val="00543B66"/>
    <w:rsid w:val="005455D6"/>
    <w:rsid w:val="00570C60"/>
    <w:rsid w:val="00595CDE"/>
    <w:rsid w:val="005B6C08"/>
    <w:rsid w:val="005D13AD"/>
    <w:rsid w:val="00617316"/>
    <w:rsid w:val="00667988"/>
    <w:rsid w:val="006E37E5"/>
    <w:rsid w:val="00700817"/>
    <w:rsid w:val="007703B7"/>
    <w:rsid w:val="00792132"/>
    <w:rsid w:val="007A6C68"/>
    <w:rsid w:val="007D34E4"/>
    <w:rsid w:val="007F5978"/>
    <w:rsid w:val="007F6075"/>
    <w:rsid w:val="00811D97"/>
    <w:rsid w:val="008204D3"/>
    <w:rsid w:val="00827337"/>
    <w:rsid w:val="0083608B"/>
    <w:rsid w:val="00856BE5"/>
    <w:rsid w:val="00872F2C"/>
    <w:rsid w:val="00890403"/>
    <w:rsid w:val="008B18A0"/>
    <w:rsid w:val="008B73FE"/>
    <w:rsid w:val="009628ED"/>
    <w:rsid w:val="00996209"/>
    <w:rsid w:val="00997C4B"/>
    <w:rsid w:val="009D653C"/>
    <w:rsid w:val="009F467E"/>
    <w:rsid w:val="00A141A2"/>
    <w:rsid w:val="00A21218"/>
    <w:rsid w:val="00A37CF7"/>
    <w:rsid w:val="00A547D7"/>
    <w:rsid w:val="00A77FC6"/>
    <w:rsid w:val="00A94A37"/>
    <w:rsid w:val="00AB3091"/>
    <w:rsid w:val="00AC114F"/>
    <w:rsid w:val="00AF74BC"/>
    <w:rsid w:val="00B51D05"/>
    <w:rsid w:val="00B53A0E"/>
    <w:rsid w:val="00B554F8"/>
    <w:rsid w:val="00B60BE8"/>
    <w:rsid w:val="00BB4971"/>
    <w:rsid w:val="00BD3560"/>
    <w:rsid w:val="00BE7F73"/>
    <w:rsid w:val="00BF4449"/>
    <w:rsid w:val="00C30128"/>
    <w:rsid w:val="00C81382"/>
    <w:rsid w:val="00CC2AC2"/>
    <w:rsid w:val="00D372A1"/>
    <w:rsid w:val="00D52B99"/>
    <w:rsid w:val="00D72D24"/>
    <w:rsid w:val="00D812B7"/>
    <w:rsid w:val="00D832D3"/>
    <w:rsid w:val="00D851F6"/>
    <w:rsid w:val="00DE176C"/>
    <w:rsid w:val="00DE7DB8"/>
    <w:rsid w:val="00DF489B"/>
    <w:rsid w:val="00E00989"/>
    <w:rsid w:val="00E905DD"/>
    <w:rsid w:val="00EA6FA1"/>
    <w:rsid w:val="00EB771F"/>
    <w:rsid w:val="00F02E3A"/>
    <w:rsid w:val="00F04F83"/>
    <w:rsid w:val="00F86388"/>
    <w:rsid w:val="00F96DC9"/>
    <w:rsid w:val="00FB43C2"/>
    <w:rsid w:val="00FB5371"/>
    <w:rsid w:val="00FE1413"/>
    <w:rsid w:val="01C268D7"/>
    <w:rsid w:val="02F4490C"/>
    <w:rsid w:val="04192847"/>
    <w:rsid w:val="04531CBE"/>
    <w:rsid w:val="064C3889"/>
    <w:rsid w:val="066920E6"/>
    <w:rsid w:val="067C3D08"/>
    <w:rsid w:val="06966486"/>
    <w:rsid w:val="06EA4383"/>
    <w:rsid w:val="07202214"/>
    <w:rsid w:val="072D3B19"/>
    <w:rsid w:val="083612A8"/>
    <w:rsid w:val="08911636"/>
    <w:rsid w:val="0AF078B8"/>
    <w:rsid w:val="0B574B11"/>
    <w:rsid w:val="0C272714"/>
    <w:rsid w:val="0C3335E6"/>
    <w:rsid w:val="0ED540FF"/>
    <w:rsid w:val="100A6520"/>
    <w:rsid w:val="114A3298"/>
    <w:rsid w:val="11B54E22"/>
    <w:rsid w:val="122C11EA"/>
    <w:rsid w:val="129F43D2"/>
    <w:rsid w:val="152D239E"/>
    <w:rsid w:val="153B77D5"/>
    <w:rsid w:val="15CB3FA2"/>
    <w:rsid w:val="169D06B4"/>
    <w:rsid w:val="16B12E7C"/>
    <w:rsid w:val="16F41171"/>
    <w:rsid w:val="185506F8"/>
    <w:rsid w:val="187F59A8"/>
    <w:rsid w:val="192A7DC0"/>
    <w:rsid w:val="194B18C4"/>
    <w:rsid w:val="196E7465"/>
    <w:rsid w:val="198C1A5E"/>
    <w:rsid w:val="1B7150F2"/>
    <w:rsid w:val="1D2B18B9"/>
    <w:rsid w:val="1EF37216"/>
    <w:rsid w:val="1F7C713F"/>
    <w:rsid w:val="1FF27BD1"/>
    <w:rsid w:val="212D1713"/>
    <w:rsid w:val="21790F15"/>
    <w:rsid w:val="22A66B81"/>
    <w:rsid w:val="231A5B55"/>
    <w:rsid w:val="27800BAA"/>
    <w:rsid w:val="27F154AD"/>
    <w:rsid w:val="283F5F17"/>
    <w:rsid w:val="286B6FA3"/>
    <w:rsid w:val="287D3B20"/>
    <w:rsid w:val="28966DD0"/>
    <w:rsid w:val="2AD100E0"/>
    <w:rsid w:val="2B080B2E"/>
    <w:rsid w:val="2B8054C5"/>
    <w:rsid w:val="2B842652"/>
    <w:rsid w:val="2C202B2B"/>
    <w:rsid w:val="2C2A18A9"/>
    <w:rsid w:val="2C8E5C48"/>
    <w:rsid w:val="2D2865AA"/>
    <w:rsid w:val="2E0D0B7A"/>
    <w:rsid w:val="2EDB7D0B"/>
    <w:rsid w:val="2EF74136"/>
    <w:rsid w:val="3045225C"/>
    <w:rsid w:val="304C5976"/>
    <w:rsid w:val="30787E4A"/>
    <w:rsid w:val="31237A13"/>
    <w:rsid w:val="31D2306D"/>
    <w:rsid w:val="31F37941"/>
    <w:rsid w:val="321249F8"/>
    <w:rsid w:val="36023B37"/>
    <w:rsid w:val="37C93C43"/>
    <w:rsid w:val="386A389D"/>
    <w:rsid w:val="38736B5C"/>
    <w:rsid w:val="39836716"/>
    <w:rsid w:val="39A04A10"/>
    <w:rsid w:val="39B8338A"/>
    <w:rsid w:val="3A79380C"/>
    <w:rsid w:val="3B0E52EA"/>
    <w:rsid w:val="3C742404"/>
    <w:rsid w:val="3D8E613E"/>
    <w:rsid w:val="3DB646A0"/>
    <w:rsid w:val="3E8D228A"/>
    <w:rsid w:val="3F5A7A14"/>
    <w:rsid w:val="3F8D2260"/>
    <w:rsid w:val="40FF77DA"/>
    <w:rsid w:val="41683EDF"/>
    <w:rsid w:val="418E437F"/>
    <w:rsid w:val="419777BD"/>
    <w:rsid w:val="42301B98"/>
    <w:rsid w:val="4308197A"/>
    <w:rsid w:val="43A24B4F"/>
    <w:rsid w:val="4833218A"/>
    <w:rsid w:val="495D1B72"/>
    <w:rsid w:val="4AA43E2E"/>
    <w:rsid w:val="4AB107AF"/>
    <w:rsid w:val="4B3939D4"/>
    <w:rsid w:val="4B8C45B1"/>
    <w:rsid w:val="4B9823D1"/>
    <w:rsid w:val="4F030A3B"/>
    <w:rsid w:val="5073025B"/>
    <w:rsid w:val="509B1000"/>
    <w:rsid w:val="511C2BEE"/>
    <w:rsid w:val="534255A1"/>
    <w:rsid w:val="53443F98"/>
    <w:rsid w:val="537E6718"/>
    <w:rsid w:val="53844043"/>
    <w:rsid w:val="53A00BE3"/>
    <w:rsid w:val="559A52D0"/>
    <w:rsid w:val="56097943"/>
    <w:rsid w:val="565C3366"/>
    <w:rsid w:val="57C400CB"/>
    <w:rsid w:val="58305D19"/>
    <w:rsid w:val="589B7B13"/>
    <w:rsid w:val="59D15154"/>
    <w:rsid w:val="59DF2AC5"/>
    <w:rsid w:val="5BF002C7"/>
    <w:rsid w:val="5D24320F"/>
    <w:rsid w:val="5E63151D"/>
    <w:rsid w:val="5FFEAA21"/>
    <w:rsid w:val="60BD46C2"/>
    <w:rsid w:val="618E3FFB"/>
    <w:rsid w:val="62455E7C"/>
    <w:rsid w:val="63446C6F"/>
    <w:rsid w:val="63AF42C7"/>
    <w:rsid w:val="658B1A51"/>
    <w:rsid w:val="658D7954"/>
    <w:rsid w:val="667A67CB"/>
    <w:rsid w:val="66C86B98"/>
    <w:rsid w:val="67522001"/>
    <w:rsid w:val="683954B4"/>
    <w:rsid w:val="6844697D"/>
    <w:rsid w:val="684B1E3D"/>
    <w:rsid w:val="686F211C"/>
    <w:rsid w:val="6A1E271A"/>
    <w:rsid w:val="6A553AA1"/>
    <w:rsid w:val="6C053D57"/>
    <w:rsid w:val="6CD12549"/>
    <w:rsid w:val="6CF71294"/>
    <w:rsid w:val="6D55347A"/>
    <w:rsid w:val="6E6C4E5A"/>
    <w:rsid w:val="6E735CB8"/>
    <w:rsid w:val="6F3800C2"/>
    <w:rsid w:val="70162A37"/>
    <w:rsid w:val="70B84E63"/>
    <w:rsid w:val="713F6DC3"/>
    <w:rsid w:val="722D1E97"/>
    <w:rsid w:val="723955C0"/>
    <w:rsid w:val="751643A9"/>
    <w:rsid w:val="75F636CC"/>
    <w:rsid w:val="7617EE50"/>
    <w:rsid w:val="7926604F"/>
    <w:rsid w:val="797F1984"/>
    <w:rsid w:val="79B5150B"/>
    <w:rsid w:val="79FE1038"/>
    <w:rsid w:val="7A165BFD"/>
    <w:rsid w:val="7BBB12C3"/>
    <w:rsid w:val="7C295F2B"/>
    <w:rsid w:val="7C3358C8"/>
    <w:rsid w:val="7C9C1906"/>
    <w:rsid w:val="7D7D41FC"/>
    <w:rsid w:val="7E4F0335"/>
    <w:rsid w:val="7E6A494F"/>
    <w:rsid w:val="7EDC2B03"/>
    <w:rsid w:val="7F642982"/>
    <w:rsid w:val="C73B82FF"/>
    <w:rsid w:val="D9BA50EB"/>
    <w:rsid w:val="E6B1DFA4"/>
    <w:rsid w:val="EB56EF44"/>
    <w:rsid w:val="EFFEE1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character" w:default="1" w:styleId="11">
    <w:name w:val="Default Paragraph Font"/>
    <w:unhideWhenUsed/>
    <w:uiPriority w:val="1"/>
  </w:style>
  <w:style w:type="table" w:default="1" w:styleId="9">
    <w:name w:val="Normal Table"/>
    <w:unhideWhenUsed/>
    <w:qFormat/>
    <w:uiPriority w:val="99"/>
    <w:tblPr>
      <w:tblStyle w:val="9"/>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Plain Text"/>
    <w:basedOn w:val="1"/>
    <w:link w:val="13"/>
    <w:qFormat/>
    <w:uiPriority w:val="0"/>
    <w:rPr>
      <w:rFonts w:ascii="宋体" w:hAnsi="Courier New"/>
      <w:szCs w:val="20"/>
    </w:rPr>
  </w:style>
  <w:style w:type="paragraph" w:styleId="4">
    <w:name w:val="Balloon Text"/>
    <w:basedOn w:val="1"/>
    <w:link w:val="14"/>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widowControl/>
      <w:spacing w:before="100" w:beforeAutospacing="1" w:after="100" w:afterAutospacing="1"/>
      <w:jc w:val="left"/>
    </w:pPr>
    <w:rPr>
      <w:kern w:val="0"/>
      <w:sz w:val="24"/>
      <w:lang w:eastAsia="en-US"/>
    </w:rPr>
  </w:style>
  <w:style w:type="paragraph" w:styleId="8">
    <w:name w:val="Body Text First Indent"/>
    <w:basedOn w:val="2"/>
    <w:qFormat/>
    <w:uiPriority w:val="0"/>
    <w:pPr>
      <w:ind w:firstLine="420" w:firstLineChars="100"/>
    </w:pPr>
  </w:style>
  <w:style w:type="table" w:styleId="10">
    <w:name w:val="Table Grid"/>
    <w:basedOn w:val="9"/>
    <w:qFormat/>
    <w:uiPriority w:val="0"/>
    <w:pPr>
      <w:widowControl w:val="0"/>
      <w:jc w:val="both"/>
    </w:pPr>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bCs/>
    </w:rPr>
  </w:style>
  <w:style w:type="character" w:customStyle="1" w:styleId="13">
    <w:name w:val="纯文本 Char"/>
    <w:basedOn w:val="11"/>
    <w:link w:val="3"/>
    <w:uiPriority w:val="0"/>
    <w:rPr>
      <w:rFonts w:ascii="宋体" w:hAnsi="Courier New"/>
      <w:kern w:val="2"/>
      <w:sz w:val="21"/>
    </w:rPr>
  </w:style>
  <w:style w:type="character" w:customStyle="1" w:styleId="14">
    <w:name w:val="批注框文本 Char"/>
    <w:basedOn w:val="11"/>
    <w:link w:val="4"/>
    <w:uiPriority w:val="0"/>
    <w:rPr>
      <w:kern w:val="2"/>
      <w:sz w:val="18"/>
      <w:szCs w:val="18"/>
    </w:rPr>
  </w:style>
  <w:style w:type="character" w:customStyle="1" w:styleId="15">
    <w:name w:val="font51"/>
    <w:basedOn w:val="11"/>
    <w:qFormat/>
    <w:uiPriority w:val="0"/>
    <w:rPr>
      <w:rFonts w:hint="eastAsia" w:ascii="宋体" w:hAnsi="宋体" w:eastAsia="宋体" w:cs="宋体"/>
      <w:color w:val="000000"/>
      <w:sz w:val="24"/>
      <w:szCs w:val="24"/>
      <w:u w:val="none"/>
    </w:rPr>
  </w:style>
  <w:style w:type="character" w:customStyle="1" w:styleId="16">
    <w:name w:val="font01"/>
    <w:basedOn w:val="11"/>
    <w:qFormat/>
    <w:uiPriority w:val="0"/>
    <w:rPr>
      <w:rFonts w:hint="eastAsia" w:ascii="宋体" w:hAnsi="宋体" w:eastAsia="宋体" w:cs="宋体"/>
      <w:color w:val="000000"/>
      <w:sz w:val="24"/>
      <w:szCs w:val="24"/>
      <w:u w:val="none"/>
      <w:vertAlign w:val="subscript"/>
    </w:rPr>
  </w:style>
  <w:style w:type="character" w:customStyle="1" w:styleId="17">
    <w:name w:val="font21"/>
    <w:basedOn w:val="11"/>
    <w:qFormat/>
    <w:uiPriority w:val="0"/>
    <w:rPr>
      <w:rFonts w:hint="eastAsia" w:ascii="宋体" w:hAnsi="宋体" w:eastAsia="宋体" w:cs="宋体"/>
      <w:color w:val="000000"/>
      <w:sz w:val="24"/>
      <w:szCs w:val="24"/>
      <w:u w:val="none"/>
    </w:rPr>
  </w:style>
  <w:style w:type="character" w:customStyle="1" w:styleId="18">
    <w:name w:val="font91"/>
    <w:basedOn w:val="11"/>
    <w:qFormat/>
    <w:uiPriority w:val="0"/>
    <w:rPr>
      <w:rFonts w:hint="eastAsia" w:ascii="宋体" w:hAnsi="宋体" w:eastAsia="宋体" w:cs="宋体"/>
      <w:color w:val="000000"/>
      <w:sz w:val="20"/>
      <w:szCs w:val="20"/>
      <w:u w:val="none"/>
      <w:vertAlign w:val="subscript"/>
    </w:rPr>
  </w:style>
  <w:style w:type="character" w:customStyle="1" w:styleId="19">
    <w:name w:val="font11"/>
    <w:basedOn w:val="1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18</Pages>
  <Words>2620</Words>
  <Characters>2641</Characters>
  <Lines>48</Lines>
  <Paragraphs>13</Paragraphs>
  <TotalTime>9.33333333333333</TotalTime>
  <ScaleCrop>false</ScaleCrop>
  <LinksUpToDate>false</LinksUpToDate>
  <CharactersWithSpaces>2660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2022-11-16T21:41:00Z</dcterms:created>
  <dc:creator>Administrator</dc:creator>
  <cp:lastModifiedBy>挑彡拣亖</cp:lastModifiedBy>
  <cp:lastPrinted>2024-05-11T14:55:56Z</cp:lastPrinted>
  <dcterms:modified xsi:type="dcterms:W3CDTF">2025-08-05T10:33:37Z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334FF7C736F849EF81644D6BEBE9F741_13</vt:lpwstr>
  </property>
  <property fmtid="{D5CDD505-2E9C-101B-9397-08002B2CF9AE}" pid="4" name="KSOTemplateDocerSaveRecord">
    <vt:lpwstr>eyJoZGlkIjoiZjkzYzYxOTI3NTI1NTg5ZTY0NGMyYjI3NGJhZmExMmMiLCJ1c2VySWQiOiI2NTc5MDExMzgifQ==</vt:lpwstr>
  </property>
</Properties>
</file>