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版本号：XBZB-2025-10620250727001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2025年法律服务项目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XBZB-2025-106</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2025年法律服务项目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XBZB-2025-106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2025年法律服务项目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西安曲江新区管理委员会2025年法律服务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采购包1（2025年法律服务项目）：属于专门面向中小企业采购。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西安曲江新区管理委员会经办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68660241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陕西省西安市碑林区陕西省西安市碑林区长安国际中心F座办公楼19楼05单元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17791517799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人后3日内，由成交供应商按国家计委颁发的《招标代理服务收费管理暂行办法》（计价格[2002]1980号）和国家发展改革委员会办公厅颁发的《关于招标代理服务收费有关问题的通知》（发改办价格[2003] 857号）的有关规定标准，向采购代理机构一次付清代理服务费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联系人：张续</w:t>
      </w:r>
    </w:p>
    <w:p>
      <w:pPr>
        <w:pStyle w:val="null3"/>
      </w:pPr>
      <w:r>
        <w:rPr>
          <w:rFonts w:ascii="仿宋_GB2312" w:hAnsi="仿宋_GB2312" w:cs="仿宋_GB2312" w:eastAsia="仿宋_GB2312"/>
        </w:rPr>
        <w:t>联系电话：17791517799</w:t>
      </w:r>
    </w:p>
    <w:p>
      <w:pPr>
        <w:pStyle w:val="null3"/>
      </w:pPr>
      <w:r>
        <w:rPr>
          <w:rFonts w:ascii="仿宋_GB2312" w:hAnsi="仿宋_GB2312" w:cs="仿宋_GB2312" w:eastAsia="仿宋_GB2312"/>
        </w:rPr>
        <w:t>地址：陕西省西安市碑林区长安国际中心F座办公楼19楼05单元</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西安曲江新区管理委员会2025年法律服务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法律服务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标的名称：法律服务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pPr>
            <w:r>
              <w:rPr>
                <w:rFonts w:ascii="仿宋_GB2312" w:hAnsi="仿宋_GB2312" w:cs="仿宋_GB2312" w:eastAsia="仿宋_GB2312"/>
                <w:sz w:val="21"/>
              </w:rPr>
              <w:t>服务项目：</w:t>
            </w:r>
          </w:p>
          <w:p>
            <w:pPr>
              <w:pStyle w:val="null3"/>
              <w:jc w:val="both"/>
            </w:pPr>
            <w:r>
              <w:rPr>
                <w:rFonts w:ascii="仿宋_GB2312" w:hAnsi="仿宋_GB2312" w:cs="仿宋_GB2312" w:eastAsia="仿宋_GB2312"/>
                <w:sz w:val="21"/>
              </w:rPr>
              <w:t>（一）常年顾问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1.为采购人日常事务、经济项目、投资活动等事项提供法律咨询服务；</w:t>
            </w:r>
            <w:r>
              <w:br/>
            </w:r>
            <w:r>
              <w:rPr>
                <w:rFonts w:ascii="仿宋_GB2312" w:hAnsi="仿宋_GB2312" w:cs="仿宋_GB2312" w:eastAsia="仿宋_GB2312"/>
                <w:sz w:val="21"/>
              </w:rPr>
              <w:t xml:space="preserve">    </w:t>
            </w:r>
            <w:r>
              <w:rPr>
                <w:rFonts w:ascii="仿宋_GB2312" w:hAnsi="仿宋_GB2312" w:cs="仿宋_GB2312" w:eastAsia="仿宋_GB2312"/>
                <w:sz w:val="21"/>
              </w:rPr>
              <w:t>2.应采购人要求，参与采购人重大决策，并提供相关法律建议或意见；</w:t>
            </w:r>
            <w:r>
              <w:br/>
            </w:r>
            <w:r>
              <w:rPr>
                <w:rFonts w:ascii="仿宋_GB2312" w:hAnsi="仿宋_GB2312" w:cs="仿宋_GB2312" w:eastAsia="仿宋_GB2312"/>
                <w:sz w:val="21"/>
              </w:rPr>
              <w:t xml:space="preserve">    </w:t>
            </w:r>
            <w:r>
              <w:rPr>
                <w:rFonts w:ascii="仿宋_GB2312" w:hAnsi="仿宋_GB2312" w:cs="仿宋_GB2312" w:eastAsia="仿宋_GB2312"/>
                <w:sz w:val="21"/>
              </w:rPr>
              <w:t>3.草拟、修改、审查采购人在管理及对外活动中的合同、协议和其他法律文件；</w:t>
            </w:r>
            <w:r>
              <w:br/>
            </w:r>
            <w:r>
              <w:rPr>
                <w:rFonts w:ascii="仿宋_GB2312" w:hAnsi="仿宋_GB2312" w:cs="仿宋_GB2312" w:eastAsia="仿宋_GB2312"/>
                <w:sz w:val="21"/>
              </w:rPr>
              <w:t xml:space="preserve">    </w:t>
            </w:r>
            <w:r>
              <w:rPr>
                <w:rFonts w:ascii="仿宋_GB2312" w:hAnsi="仿宋_GB2312" w:cs="仿宋_GB2312" w:eastAsia="仿宋_GB2312"/>
                <w:sz w:val="21"/>
              </w:rPr>
              <w:t>4.协助采购人建立健全规章制度；</w:t>
            </w:r>
            <w:r>
              <w:br/>
            </w:r>
            <w:r>
              <w:rPr>
                <w:rFonts w:ascii="仿宋_GB2312" w:hAnsi="仿宋_GB2312" w:cs="仿宋_GB2312" w:eastAsia="仿宋_GB2312"/>
                <w:sz w:val="21"/>
              </w:rPr>
              <w:t xml:space="preserve">    </w:t>
            </w:r>
            <w:r>
              <w:rPr>
                <w:rFonts w:ascii="仿宋_GB2312" w:hAnsi="仿宋_GB2312" w:cs="仿宋_GB2312" w:eastAsia="仿宋_GB2312"/>
                <w:sz w:val="21"/>
              </w:rPr>
              <w:t>5.协助采购人进行法制宣传教育和法律培训；</w:t>
            </w:r>
            <w:r>
              <w:br/>
            </w:r>
            <w:r>
              <w:rPr>
                <w:rFonts w:ascii="仿宋_GB2312" w:hAnsi="仿宋_GB2312" w:cs="仿宋_GB2312" w:eastAsia="仿宋_GB2312"/>
                <w:sz w:val="21"/>
              </w:rPr>
              <w:t xml:space="preserve">    </w:t>
            </w:r>
            <w:r>
              <w:rPr>
                <w:rFonts w:ascii="仿宋_GB2312" w:hAnsi="仿宋_GB2312" w:cs="仿宋_GB2312" w:eastAsia="仿宋_GB2312"/>
                <w:sz w:val="21"/>
              </w:rPr>
              <w:t>6.审查采购人对外发布的公告、启事、函件等内容，并提出审查意见；</w:t>
            </w:r>
            <w:r>
              <w:br/>
            </w:r>
            <w:r>
              <w:rPr>
                <w:rFonts w:ascii="仿宋_GB2312" w:hAnsi="仿宋_GB2312" w:cs="仿宋_GB2312" w:eastAsia="仿宋_GB2312"/>
                <w:sz w:val="21"/>
              </w:rPr>
              <w:t xml:space="preserve">    </w:t>
            </w:r>
            <w:r>
              <w:rPr>
                <w:rFonts w:ascii="仿宋_GB2312" w:hAnsi="仿宋_GB2312" w:cs="仿宋_GB2312" w:eastAsia="仿宋_GB2312"/>
                <w:sz w:val="21"/>
              </w:rPr>
              <w:t>7.为采购人与有关单位、个人之间就经济、民事等事务的处理提供法律意见、建议；</w:t>
            </w:r>
            <w:r>
              <w:br/>
            </w:r>
            <w:r>
              <w:rPr>
                <w:rFonts w:ascii="仿宋_GB2312" w:hAnsi="仿宋_GB2312" w:cs="仿宋_GB2312" w:eastAsia="仿宋_GB2312"/>
                <w:sz w:val="21"/>
              </w:rPr>
              <w:t xml:space="preserve">    </w:t>
            </w:r>
            <w:r>
              <w:rPr>
                <w:rFonts w:ascii="仿宋_GB2312" w:hAnsi="仿宋_GB2312" w:cs="仿宋_GB2312" w:eastAsia="仿宋_GB2312"/>
                <w:sz w:val="21"/>
              </w:rPr>
              <w:t>8.审查采购人向有关机关、组织提出的投诉、反映、答复，并提出修改意见；</w:t>
            </w:r>
            <w:r>
              <w:br/>
            </w:r>
            <w:r>
              <w:rPr>
                <w:rFonts w:ascii="仿宋_GB2312" w:hAnsi="仿宋_GB2312" w:cs="仿宋_GB2312" w:eastAsia="仿宋_GB2312"/>
                <w:sz w:val="21"/>
              </w:rPr>
              <w:t xml:space="preserve">    </w:t>
            </w:r>
            <w:r>
              <w:rPr>
                <w:rFonts w:ascii="仿宋_GB2312" w:hAnsi="仿宋_GB2312" w:cs="仿宋_GB2312" w:eastAsia="仿宋_GB2312"/>
                <w:sz w:val="21"/>
              </w:rPr>
              <w:t>9.为采购人在接受各级政府机关实施的行政管理中遇到的问题提出法律建议或意见；</w:t>
            </w:r>
            <w:r>
              <w:br/>
            </w:r>
            <w:r>
              <w:rPr>
                <w:rFonts w:ascii="仿宋_GB2312" w:hAnsi="仿宋_GB2312" w:cs="仿宋_GB2312" w:eastAsia="仿宋_GB2312"/>
                <w:sz w:val="21"/>
              </w:rPr>
              <w:t xml:space="preserve">    </w:t>
            </w:r>
            <w:r>
              <w:rPr>
                <w:rFonts w:ascii="仿宋_GB2312" w:hAnsi="仿宋_GB2312" w:cs="仿宋_GB2312" w:eastAsia="仿宋_GB2312"/>
                <w:sz w:val="21"/>
              </w:rPr>
              <w:t>10.其他与甲方日常法律事务有关的事项</w:t>
            </w:r>
          </w:p>
          <w:p>
            <w:pPr>
              <w:pStyle w:val="null3"/>
            </w:pPr>
            <w:r>
              <w:rPr>
                <w:rFonts w:ascii="仿宋_GB2312" w:hAnsi="仿宋_GB2312" w:cs="仿宋_GB2312" w:eastAsia="仿宋_GB2312"/>
                <w:sz w:val="21"/>
              </w:rPr>
              <w:t>（二）专项服务</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1.应急管理局依法治区办日常法律服务；信访维稳专项法律服务；</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2.党政办公室信息公开专项法律服务；</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3.组织人事局劳动仲裁专项法律服务；</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4.城管执法局行政执法法律服务。</w:t>
            </w:r>
          </w:p>
          <w:p>
            <w:pPr>
              <w:pStyle w:val="null3"/>
            </w:pPr>
            <w:r>
              <w:rPr>
                <w:rFonts w:ascii="仿宋_GB2312" w:hAnsi="仿宋_GB2312" w:cs="仿宋_GB2312" w:eastAsia="仿宋_GB2312"/>
                <w:sz w:val="21"/>
              </w:rPr>
              <w:t>（三）诉讼仲裁项目</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1.行政复议；</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2.行政诉讼；</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3.民事诉讼/仲裁；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各类案件按照《西安市律师服务收费指导意见》，双方协商确定按实际数量，据实结算。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0"/>
            </w:pPr>
            <w:r>
              <w:rPr>
                <w:rFonts w:ascii="仿宋_GB2312" w:hAnsi="仿宋_GB2312" w:cs="仿宋_GB2312" w:eastAsia="仿宋_GB2312"/>
                <w:sz w:val="21"/>
              </w:rPr>
              <w:t>服务要求：</w:t>
            </w:r>
          </w:p>
          <w:p>
            <w:pPr>
              <w:pStyle w:val="null3"/>
              <w:ind w:firstLine="640"/>
              <w:jc w:val="both"/>
            </w:pPr>
            <w:r>
              <w:rPr>
                <w:rFonts w:ascii="仿宋_GB2312" w:hAnsi="仿宋_GB2312" w:cs="仿宋_GB2312" w:eastAsia="仿宋_GB2312"/>
                <w:sz w:val="21"/>
              </w:rPr>
              <w:t>1.项目实施小组负责提供法律服务。事务所应在所提供服务律师名录中选择服务方向对口、经验丰富的执业律师、律师助理组成阶梯式的项目服务团队，为采购人提供最优服务。</w:t>
            </w:r>
          </w:p>
          <w:p>
            <w:pPr>
              <w:pStyle w:val="null3"/>
              <w:ind w:firstLine="640"/>
              <w:jc w:val="both"/>
            </w:pPr>
            <w:r>
              <w:rPr>
                <w:rFonts w:ascii="仿宋_GB2312" w:hAnsi="仿宋_GB2312" w:cs="仿宋_GB2312" w:eastAsia="仿宋_GB2312"/>
                <w:sz w:val="21"/>
              </w:rPr>
              <w:t>2.律所在人员管理及法律服务方面应实行团队化管理、专业化服务，各团队紧密协作，优势互补，并根据采购人的性质、所属行业、业务特点和特殊需求，为采购人提供定制式法律服务。</w:t>
            </w:r>
          </w:p>
          <w:p>
            <w:pPr>
              <w:pStyle w:val="null3"/>
              <w:ind w:firstLine="640"/>
              <w:jc w:val="both"/>
            </w:pPr>
            <w:r>
              <w:rPr>
                <w:rFonts w:ascii="仿宋_GB2312" w:hAnsi="仿宋_GB2312" w:cs="仿宋_GB2312" w:eastAsia="仿宋_GB2312"/>
                <w:sz w:val="21"/>
              </w:rPr>
              <w:t>3.为最大程度的维护采购人的利益，防范采购人管理风险和市场交易风险，应承诺严格按照本方案中的人员配置为采购人提供法律服务。遇到重大法律服务事项，律所将整合全所律师资源为采购人提供高效优质法律服务。按照工作计划开展各项工作。</w:t>
            </w:r>
          </w:p>
          <w:p>
            <w:pPr>
              <w:pStyle w:val="null3"/>
              <w:ind w:firstLine="640"/>
              <w:jc w:val="both"/>
            </w:pPr>
            <w:r>
              <w:rPr>
                <w:rFonts w:ascii="仿宋_GB2312" w:hAnsi="仿宋_GB2312" w:cs="仿宋_GB2312" w:eastAsia="仿宋_GB2312"/>
                <w:sz w:val="21"/>
              </w:rPr>
              <w:t>4.为保证服务质量，应组织建立项目领导小组，项目实施小组，为采购人的法律服务提供有力的组织保证，能根据采购人要求或随时指示处理法律事务。在此基础上按照项目管理和服务的科学性、合理性理论，从项目风险控制、项目质量管理以及项目督查管理三方面保证服务质量。</w:t>
            </w:r>
          </w:p>
          <w:p>
            <w:pPr>
              <w:pStyle w:val="null3"/>
              <w:jc w:val="both"/>
            </w:pPr>
            <w:r>
              <w:rPr>
                <w:rFonts w:ascii="仿宋_GB2312" w:hAnsi="仿宋_GB2312" w:cs="仿宋_GB2312" w:eastAsia="仿宋_GB2312"/>
                <w:sz w:val="21"/>
              </w:rPr>
              <w:t>5.在法律服务过程中，律师将根据采购人要求按时完成各项法律服务，及时告知采购人在管理等行为中存在的法律风险，并提出解决方案或相应的法律措施建议；并对相关问题提出具体的可操作方案和解决途径；对于重要法律文书应由主办律师亲自审核</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律师团队成员须专职执业律师5名以上（含5名）。日常服务须提供每周五天驻场服务，驻场主要律师须执业三年以上。代理复议、诉讼、仲裁案件须保证两名执业律师承办， 其中负责律师须具备五年以上执业经验。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供应商自行准备工作所需设施设备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采购人按照国内相应的标准、规范组织验收。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根据乙方提交的工作成果，经甲方确认结算金额后一次性支付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2、未尽事宜，双方协商解决。协商不成，由西安仲裁委员会仲裁，仲裁费用由败诉方承担。</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磋商截止日期前六个月内其基本开户银行出具的资信证明（附《基本存款账户信息》或《银行开户许可证》复印件）； /或财政部门认可的政府采购专业担保机构出具的磋商担保函；；以上三种形式的资料提供任何一种即可。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以上两种形式的资料提供任何一种即可。 5）具有依法缴纳社会保障资金的良好记录 提供缴费所属日期为磋商截止时间前12个月内任一月份（磋商截止时间当月不计入）的缴费凭据或社保机关出具的缴费证明/在法规范围内不需提供的应出具书面说明和证明文件；以上两种形式的资料提供任何一种即可。 6）参加政府采购活动前3年内在经营活动中没有重大违法记录的书面声明。 7）法人代表授权书，提交投标截止时间前12个月内任意1个月份在本单位缴纳社保证明材料</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业绩证明材料.docx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业绩证明材料.docx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 响应性审查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响应文件的签署、加盖印章是否合格、有效， 磋商报价是否未超过采购预算或最高限价，磋商报价有效期是否符合磋商文件的要求。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资格证明文件.docx 响应文件封面 分项报价表.docx 残疾人福利性单位声明函 服务方案 技术和商务偏离表.docx 标的清单 响应函 陕西省政府采购供应商拒绝政府采购领域商业贿赂承诺书.docx 合同条款响应.docx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1.对该项目服务方案的分析和理解等进行完整、合理地阐述，针对采购人需要解决的法律类问题,有具体的服务方案，工作计划的可行性、实用性、完整性、全面性、认知深度和专业性进行综合评审，计20-25分。 2.投标人具有完善的国家法律法规规定的保密制度和措施，全面保证采购人信息不泄密，并提供保密承诺，根据响应程度计8-20分。 3.服务响应的及时性及应急（突发）事件的处置措施，根据响应程度计0-8分。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组织机构设置合理，有项目负责人，有组织架构图，人员职责明确、分工安排清晰、合理。提供具体成员名单，包括姓名、工作职务、联系方式等。 人员配备齐全、分工合理、责任明确计8-10分； 人员配备较全、分工较合理、责任较明确计4-8分； 人员配备不足、分工不合理、责任不明确，计0-4分。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律师团队</w:t>
            </w:r>
          </w:p>
        </w:tc>
        <w:tc>
          <w:tcPr>
            <w:tcW w:type="dxa" w:w="2492"/>
          </w:tcPr>
          <w:p>
            <w:pPr>
              <w:pStyle w:val="null3"/>
            </w:pPr>
            <w:r>
              <w:rPr>
                <w:rFonts w:ascii="仿宋_GB2312" w:hAnsi="仿宋_GB2312" w:cs="仿宋_GB2312" w:eastAsia="仿宋_GB2312"/>
              </w:rPr>
              <w:t>1、拟派往本项目驻场律师。 驻场律师法律基础知识、采购人业务相关的法律知识掌握程度，处理合同、纠纷、诉讼等实战经验提供相关证明材料，按其响应程度计0～5分。 2、拟派往本项目承办律师。 承办律师法律基础知识、采购人业务相关的法律知识掌握程度，处理合同、纠纷、诉讼等实战经验提供相关证明材料，按其响应程度计0～5分。 3、拟派往本项目主办律师。 主办律师法律基础知识、采购人业务相关的法律知识掌握程度，处理合同、纠纷、诉讼等实战经验提供相关证明材料，按其响应程度计0～5分。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律师执业质量管理制度、人力资源管理制度、实习律师学习培训制度、管委会议事规则、合伙人会议议事规则、档案管理制度等规章制度完善，并符合法律要求，能确保项目顺利实施。0-5分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综合业务能力</w:t>
            </w:r>
          </w:p>
        </w:tc>
        <w:tc>
          <w:tcPr>
            <w:tcW w:type="dxa" w:w="2492"/>
          </w:tcPr>
          <w:p>
            <w:pPr>
              <w:pStyle w:val="null3"/>
            </w:pPr>
            <w:r>
              <w:rPr>
                <w:rFonts w:ascii="仿宋_GB2312" w:hAnsi="仿宋_GB2312" w:cs="仿宋_GB2312" w:eastAsia="仿宋_GB2312"/>
              </w:rPr>
              <w:t>合同、制度、法律文书等的起草、修改与审核，法律意见和建议，法律咨询指导和法律知识培训调解、仲裁或诉讼案件的处理能力按其响应程度计0～10分。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服务范围及服务承诺</w:t>
            </w:r>
          </w:p>
        </w:tc>
        <w:tc>
          <w:tcPr>
            <w:tcW w:type="dxa" w:w="2492"/>
          </w:tcPr>
          <w:p>
            <w:pPr>
              <w:pStyle w:val="null3"/>
            </w:pPr>
            <w:r>
              <w:rPr>
                <w:rFonts w:ascii="仿宋_GB2312" w:hAnsi="仿宋_GB2312" w:cs="仿宋_GB2312" w:eastAsia="仿宋_GB2312"/>
              </w:rPr>
              <w:t>根据服务范围和内容要求开展工作，并及时反馈、回复信息，提出合理的意见和建议，实施工作内容主动沟通、汇报，按其响应程度计0～5分。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有完善的服务保障措施，包括组织机构保障、拟投入的财力物力保障等，且内容详实、有效，切实可行。 保障方案完善、切实可行计7-10分； 保障方案较完善、可行度较高计4-7分； 保障方案不足计1-4分。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具有2022年1月至今类似项目业绩，提供中标通知书或合同（时间以签订的日期为准），每提供一个计2分，满分10分。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1、最低的最终磋商报价为磋商报价基准价； 2、磋商报价得分=（磋商报价基准价/最终磋商报价）×10%×100；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详见附件：合同条款响应.docx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