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版本号：GR25-CS-033.1B120250707001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大明宫遗址区QJ13-1-30、QJ11-5-100、QJ10-7-73实施性详细规划及规划条件编制服务(二次)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GR25-CS-033.1B1</w:t>
      </w:r>
      <w:r>
        <w:br/>
      </w:r>
      <w:r>
        <w:br/>
      </w:r>
      <w:r>
        <w:br/>
      </w:r>
    </w:p>
    <w:p>
      <w:pPr>
        <w:pStyle w:val="null3"/>
        <w:jc w:val="center"/>
        <w:outlineLvl w:val="2"/>
      </w:pPr>
      <w:r>
        <w:rPr>
          <w:rFonts w:ascii="仿宋_GB2312" w:hAnsi="仿宋_GB2312" w:cs="仿宋_GB2312" w:eastAsia="仿宋_GB2312"/>
          <w:sz w:val="28"/>
          <w:b/>
        </w:rPr>
        <w:t>西安曲江大明宫遗址区保护办公室</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西安曲江大明宫遗址区保护办公室</w:t>
      </w:r>
      <w:r>
        <w:rPr>
          <w:rFonts w:ascii="仿宋_GB2312" w:hAnsi="仿宋_GB2312" w:cs="仿宋_GB2312" w:eastAsia="仿宋_GB2312"/>
        </w:rPr>
        <w:t>委托，拟对</w:t>
      </w:r>
      <w:r>
        <w:rPr>
          <w:rFonts w:ascii="仿宋_GB2312" w:hAnsi="仿宋_GB2312" w:cs="仿宋_GB2312" w:eastAsia="仿宋_GB2312"/>
        </w:rPr>
        <w:t>大明宫遗址区QJ13-1-30、QJ11-5-100、QJ10-7-73实施性详细规划及规划条件编制服务(二次)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GR25-CS-033.1B1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大明宫遗址区QJ13-1-30、QJ11-5-100、QJ10-7-73实施性详细规划及规划条件编制服务(二次)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更好配合市委市政府完善落实开发区国土空间规划编制工作，在大明宫遗址区“国土空间规划总体规划”“国土空间详细规划”的基础上，为遗址区科学有效利用土地资源，完善城市功能及用地布局，指导遗址区社会、经济、环境、文化保护各项事业在国土空间上有序协调建设，特开展本次3个项目的实施性详细规划及规划条件编制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1、企业资质：供应商须具备相关行政主管部门颁发的城乡规划编制乙级及以上资质证书</w:t>
      </w:r>
    </w:p>
    <w:p>
      <w:pPr>
        <w:pStyle w:val="null3"/>
      </w:pPr>
      <w:r>
        <w:rPr>
          <w:rFonts w:ascii="仿宋_GB2312" w:hAnsi="仿宋_GB2312" w:cs="仿宋_GB2312" w:eastAsia="仿宋_GB2312"/>
        </w:rPr>
        <w:t>2、项目负责人：项目负责人须具有注册城乡规划师证书或具有该专业高级及以上职称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西安曲江大明宫遗址区保护办公室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西安市未央区玄武路78号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西安曲江大明宫遗址保护改造办公室经办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18991191199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13141483999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代理服务费收费标准：1、以成交金额为基数，根据国家发改委计价格（2002）1980号文和发改办价格（2003）857号文有关规定收取。2、招标代理服务费可以采取现金、支票、银行汇票、电汇、网银等方式缴纳。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西安曲江大明宫遗址区保护办公室</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西安曲江大明宫遗址区保护办公室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西安曲江大明宫遗址区保护办公室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联系人：黄凯</w:t>
      </w:r>
    </w:p>
    <w:p>
      <w:pPr>
        <w:pStyle w:val="null3"/>
      </w:pPr>
      <w:r>
        <w:rPr>
          <w:rFonts w:ascii="仿宋_GB2312" w:hAnsi="仿宋_GB2312" w:cs="仿宋_GB2312" w:eastAsia="仿宋_GB2312"/>
        </w:rPr>
        <w:t>联系电话：13141483999</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更好配合市委市政府完善落实开发区国土空间规划编制工作，在大明宫遗址区“国土空间规划总体规划”“国土空间详细规划”的基础上，为遗址区科学有效利用土地资源，完善城市功能及用地布局，指导遗址区社会、经济、环境、文化保护各项事业在国土空间上有序协调建设，特开展本次3个项目的实施性详细规划及规划条件编制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大明宫遗址区QJ13-1-30、QJ11-5-100、QJ10-7-73实施性详细规划及规划条件编制服务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标的名称：大明宫遗址区QJ13-1-30、QJ11-5-100、QJ10-7-73实施性详细规划及规划条件编制服务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为更好配合市委市政府完善落实开发区国土空间规划编制工作，在大明宫遗址区</w:t>
            </w:r>
            <w:r>
              <w:rPr>
                <w:rFonts w:ascii="仿宋_GB2312" w:hAnsi="仿宋_GB2312" w:cs="仿宋_GB2312" w:eastAsia="仿宋_GB2312"/>
                <w:sz w:val="21"/>
              </w:rPr>
              <w:t>“国土空间规划</w:t>
            </w:r>
            <w:r>
              <w:rPr>
                <w:rFonts w:ascii="仿宋_GB2312" w:hAnsi="仿宋_GB2312" w:cs="仿宋_GB2312" w:eastAsia="仿宋_GB2312"/>
                <w:sz w:val="21"/>
              </w:rPr>
              <w:t>总体规划</w:t>
            </w:r>
            <w:r>
              <w:rPr>
                <w:rFonts w:ascii="仿宋_GB2312" w:hAnsi="仿宋_GB2312" w:cs="仿宋_GB2312" w:eastAsia="仿宋_GB2312"/>
                <w:sz w:val="21"/>
              </w:rPr>
              <w:t>”“国土空间详细规划”的基础上，为遗址区科学有效利用土地资源，完善城市功能及用地布局，指导遗址区社会、经济、环境、文化保护各项事业在国土空间上有序协调建设</w:t>
            </w:r>
            <w:r>
              <w:rPr>
                <w:rFonts w:ascii="仿宋_GB2312" w:hAnsi="仿宋_GB2312" w:cs="仿宋_GB2312" w:eastAsia="仿宋_GB2312"/>
                <w:sz w:val="21"/>
              </w:rPr>
              <w:t>，</w:t>
            </w:r>
            <w:r>
              <w:rPr>
                <w:rFonts w:ascii="仿宋_GB2312" w:hAnsi="仿宋_GB2312" w:cs="仿宋_GB2312" w:eastAsia="仿宋_GB2312"/>
                <w:sz w:val="21"/>
              </w:rPr>
              <w:t>特开展本次</w:t>
            </w:r>
            <w:r>
              <w:rPr>
                <w:rFonts w:ascii="仿宋_GB2312" w:hAnsi="仿宋_GB2312" w:cs="仿宋_GB2312" w:eastAsia="仿宋_GB2312"/>
                <w:sz w:val="21"/>
              </w:rPr>
              <w:t>3</w:t>
            </w:r>
            <w:r>
              <w:rPr>
                <w:rFonts w:ascii="仿宋_GB2312" w:hAnsi="仿宋_GB2312" w:cs="仿宋_GB2312" w:eastAsia="仿宋_GB2312"/>
                <w:sz w:val="21"/>
              </w:rPr>
              <w:t>个项目</w:t>
            </w:r>
            <w:r>
              <w:rPr>
                <w:rFonts w:ascii="仿宋_GB2312" w:hAnsi="仿宋_GB2312" w:cs="仿宋_GB2312" w:eastAsia="仿宋_GB2312"/>
                <w:sz w:val="21"/>
              </w:rPr>
              <w:t>的实施性详细规划及规划条件编制服务</w:t>
            </w:r>
            <w:r>
              <w:rPr>
                <w:rFonts w:ascii="仿宋_GB2312" w:hAnsi="仿宋_GB2312" w:cs="仿宋_GB2312" w:eastAsia="仿宋_GB2312"/>
                <w:sz w:val="21"/>
              </w:rPr>
              <w:t>工作。</w:t>
            </w:r>
          </w:p>
          <w:p>
            <w:pPr>
              <w:pStyle w:val="null3"/>
              <w:ind w:firstLine="420"/>
              <w:jc w:val="both"/>
            </w:pPr>
            <w:r>
              <w:rPr>
                <w:rFonts w:ascii="仿宋_GB2312" w:hAnsi="仿宋_GB2312" w:cs="仿宋_GB2312" w:eastAsia="仿宋_GB2312"/>
                <w:sz w:val="21"/>
                <w:b/>
              </w:rPr>
              <w:t>二、规划编制要求</w:t>
            </w:r>
          </w:p>
          <w:p>
            <w:pPr>
              <w:pStyle w:val="null3"/>
              <w:ind w:firstLine="420"/>
              <w:jc w:val="both"/>
            </w:pPr>
            <w:r>
              <w:rPr>
                <w:rFonts w:ascii="仿宋_GB2312" w:hAnsi="仿宋_GB2312" w:cs="仿宋_GB2312" w:eastAsia="仿宋_GB2312"/>
                <w:sz w:val="21"/>
              </w:rPr>
              <w:t>1、设计基本原则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1）依据各相关规划及近、远期建设，体现规划的科学性和实现性，发挥规划的控制和引领作用。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2）总体规划与分</w:t>
            </w:r>
            <w:r>
              <w:rPr>
                <w:rFonts w:ascii="仿宋_GB2312" w:hAnsi="仿宋_GB2312" w:cs="仿宋_GB2312" w:eastAsia="仿宋_GB2312"/>
                <w:sz w:val="21"/>
              </w:rPr>
              <w:t>步</w:t>
            </w:r>
            <w:r>
              <w:rPr>
                <w:rFonts w:ascii="仿宋_GB2312" w:hAnsi="仿宋_GB2312" w:cs="仿宋_GB2312" w:eastAsia="仿宋_GB2312"/>
                <w:sz w:val="21"/>
              </w:rPr>
              <w:t>实施相结合的原则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3）因地制宜与空间统筹相结合的原则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以人</w:t>
            </w:r>
            <w:r>
              <w:rPr>
                <w:rFonts w:ascii="仿宋_GB2312" w:hAnsi="仿宋_GB2312" w:cs="仿宋_GB2312" w:eastAsia="仿宋_GB2312"/>
                <w:sz w:val="21"/>
              </w:rPr>
              <w:t>为本与系统安排相结合的原则</w:t>
            </w:r>
          </w:p>
          <w:p>
            <w:pPr>
              <w:pStyle w:val="null3"/>
              <w:ind w:firstLine="420"/>
              <w:jc w:val="both"/>
            </w:pPr>
            <w:r>
              <w:rPr>
                <w:rFonts w:ascii="仿宋_GB2312" w:hAnsi="仿宋_GB2312" w:cs="仿宋_GB2312" w:eastAsia="仿宋_GB2312"/>
                <w:sz w:val="21"/>
              </w:rPr>
              <w:t>2、规划基本要求</w:t>
            </w:r>
          </w:p>
          <w:p>
            <w:pPr>
              <w:pStyle w:val="null3"/>
              <w:ind w:firstLine="420"/>
              <w:jc w:val="both"/>
            </w:pPr>
            <w:r>
              <w:rPr>
                <w:rFonts w:ascii="仿宋_GB2312" w:hAnsi="仿宋_GB2312" w:cs="仿宋_GB2312" w:eastAsia="仿宋_GB2312"/>
                <w:sz w:val="21"/>
              </w:rPr>
              <w:t>按照相关审批部门的制作要求，完成汇报材料及批复后实施详细规划成果的制作。</w:t>
            </w:r>
            <w:r>
              <w:rPr>
                <w:rFonts w:ascii="仿宋_GB2312" w:hAnsi="仿宋_GB2312" w:cs="仿宋_GB2312" w:eastAsia="仿宋_GB2312"/>
                <w:sz w:val="21"/>
              </w:rPr>
              <w:t>依据相应的政策法规，在</w:t>
            </w:r>
            <w:r>
              <w:rPr>
                <w:rFonts w:ascii="仿宋_GB2312" w:hAnsi="仿宋_GB2312" w:cs="仿宋_GB2312" w:eastAsia="仿宋_GB2312"/>
                <w:sz w:val="21"/>
              </w:rPr>
              <w:t>合法合规</w:t>
            </w:r>
            <w:r>
              <w:rPr>
                <w:rFonts w:ascii="仿宋_GB2312" w:hAnsi="仿宋_GB2312" w:cs="仿宋_GB2312" w:eastAsia="仿宋_GB2312"/>
                <w:sz w:val="21"/>
              </w:rPr>
              <w:t>的</w:t>
            </w:r>
            <w:r>
              <w:rPr>
                <w:rFonts w:ascii="仿宋_GB2312" w:hAnsi="仿宋_GB2312" w:cs="仿宋_GB2312" w:eastAsia="仿宋_GB2312"/>
                <w:sz w:val="21"/>
              </w:rPr>
              <w:t>基础上</w:t>
            </w:r>
            <w:r>
              <w:rPr>
                <w:rFonts w:ascii="仿宋_GB2312" w:hAnsi="仿宋_GB2312" w:cs="仿宋_GB2312" w:eastAsia="仿宋_GB2312"/>
                <w:sz w:val="21"/>
              </w:rPr>
              <w:t>对项目方案进行优化布局，最终形成合理的规划设计方案和指标，指导项目建设。</w:t>
            </w:r>
          </w:p>
          <w:p>
            <w:pPr>
              <w:pStyle w:val="null3"/>
              <w:ind w:firstLine="420"/>
              <w:jc w:val="both"/>
            </w:pPr>
            <w:r>
              <w:rPr>
                <w:rFonts w:ascii="仿宋_GB2312" w:hAnsi="仿宋_GB2312" w:cs="仿宋_GB2312" w:eastAsia="仿宋_GB2312"/>
                <w:sz w:val="21"/>
              </w:rPr>
              <w:t>项目基本概况：</w:t>
            </w:r>
            <w:r>
              <w:rPr>
                <w:rFonts w:ascii="仿宋_GB2312" w:hAnsi="仿宋_GB2312" w:cs="仿宋_GB2312" w:eastAsia="仿宋_GB2312"/>
                <w:sz w:val="21"/>
              </w:rPr>
              <w:t>包括</w:t>
            </w:r>
            <w:r>
              <w:rPr>
                <w:rFonts w:ascii="仿宋_GB2312" w:hAnsi="仿宋_GB2312" w:cs="仿宋_GB2312" w:eastAsia="仿宋_GB2312"/>
                <w:sz w:val="21"/>
              </w:rPr>
              <w:t>区位、规模、现场踏勘等</w:t>
            </w:r>
            <w:r>
              <w:rPr>
                <w:rFonts w:ascii="仿宋_GB2312" w:hAnsi="仿宋_GB2312" w:cs="仿宋_GB2312" w:eastAsia="仿宋_GB2312"/>
                <w:sz w:val="21"/>
              </w:rPr>
              <w:t>内容。</w:t>
            </w:r>
          </w:p>
          <w:p>
            <w:pPr>
              <w:pStyle w:val="null3"/>
              <w:ind w:firstLine="420"/>
              <w:jc w:val="both"/>
            </w:pPr>
            <w:r>
              <w:rPr>
                <w:rFonts w:ascii="仿宋_GB2312" w:hAnsi="仿宋_GB2312" w:cs="仿宋_GB2312" w:eastAsia="仿宋_GB2312"/>
                <w:sz w:val="21"/>
              </w:rPr>
              <w:t>上位规划传导：</w:t>
            </w:r>
            <w:r>
              <w:rPr>
                <w:rFonts w:ascii="仿宋_GB2312" w:hAnsi="仿宋_GB2312" w:cs="仿宋_GB2312" w:eastAsia="仿宋_GB2312"/>
                <w:sz w:val="21"/>
              </w:rPr>
              <w:t>包括功能传导、用地情况、单元详规传导等内容。</w:t>
            </w:r>
          </w:p>
          <w:p>
            <w:pPr>
              <w:pStyle w:val="null3"/>
              <w:ind w:firstLine="420"/>
              <w:jc w:val="both"/>
            </w:pPr>
            <w:r>
              <w:rPr>
                <w:rFonts w:ascii="仿宋_GB2312" w:hAnsi="仿宋_GB2312" w:cs="仿宋_GB2312" w:eastAsia="仿宋_GB2312"/>
                <w:sz w:val="21"/>
              </w:rPr>
              <w:t>项目现状概况：包括卫星影像、航拍影像、土地权属及储备情况等内容。</w:t>
            </w:r>
          </w:p>
          <w:p>
            <w:pPr>
              <w:pStyle w:val="null3"/>
              <w:ind w:firstLine="420"/>
              <w:jc w:val="both"/>
            </w:pPr>
            <w:r>
              <w:rPr>
                <w:rFonts w:ascii="仿宋_GB2312" w:hAnsi="仿宋_GB2312" w:cs="仿宋_GB2312" w:eastAsia="仿宋_GB2312"/>
                <w:sz w:val="21"/>
              </w:rPr>
              <w:t>实施详细规划：包括开发建设情况（含经济指标）、公服配套情况、城市设计传导、道路与市政、实施详细规划图则、总平面示意、空间模型示意、建设效果示意等内容。</w:t>
            </w:r>
          </w:p>
          <w:p>
            <w:pPr>
              <w:pStyle w:val="null3"/>
              <w:ind w:firstLine="420"/>
              <w:jc w:val="both"/>
            </w:pPr>
            <w:r>
              <w:rPr>
                <w:rFonts w:ascii="仿宋_GB2312" w:hAnsi="仿宋_GB2312" w:cs="仿宋_GB2312" w:eastAsia="仿宋_GB2312"/>
                <w:sz w:val="21"/>
                <w:b/>
              </w:rPr>
              <w:t>注：因目前项目未达到审批程序相关要求，部分内容可按照示意深度表达。</w:t>
            </w:r>
          </w:p>
          <w:p>
            <w:pPr>
              <w:pStyle w:val="null3"/>
              <w:ind w:firstLine="420"/>
              <w:jc w:val="both"/>
            </w:pPr>
            <w:r>
              <w:rPr>
                <w:rFonts w:ascii="仿宋_GB2312" w:hAnsi="仿宋_GB2312" w:cs="仿宋_GB2312" w:eastAsia="仿宋_GB2312"/>
                <w:sz w:val="21"/>
                <w:b/>
              </w:rPr>
              <w:t>三、规划范围</w:t>
            </w:r>
          </w:p>
          <w:tbl>
            <w:tblPr>
              <w:tblInd w:type="dxa" w:w="120"/>
              <w:tblBorders>
                <w:top w:val="none" w:color="000000" w:sz="4"/>
                <w:left w:val="none" w:color="000000" w:sz="4"/>
                <w:bottom w:val="none" w:color="000000" w:sz="4"/>
                <w:right w:val="none" w:color="000000" w:sz="4"/>
                <w:insideH w:val="none"/>
                <w:insideV w:val="none"/>
              </w:tblBorders>
            </w:tblPr>
            <w:tblGrid>
              <w:gridCol w:w="188"/>
              <w:gridCol w:w="1226"/>
              <w:gridCol w:w="772"/>
              <w:gridCol w:w="366"/>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地块名称</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占地面积（</w:t>
                  </w:r>
                  <w:r>
                    <w:rPr>
                      <w:rFonts w:ascii="仿宋_GB2312" w:hAnsi="仿宋_GB2312" w:cs="仿宋_GB2312" w:eastAsia="仿宋_GB2312"/>
                      <w:sz w:val="21"/>
                      <w:color w:val="000000"/>
                    </w:rPr>
                    <w:t>ha)</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QJ13-1-30(公园周边DK4)</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地块面积</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1</w:t>
                  </w:r>
                  <w:r>
                    <w:rPr>
                      <w:rFonts w:ascii="仿宋_GB2312" w:hAnsi="仿宋_GB2312" w:cs="仿宋_GB2312" w:eastAsia="仿宋_GB2312"/>
                      <w:sz w:val="21"/>
                      <w:color w:val="000000"/>
                    </w:rPr>
                    <w:t>公顷</w:t>
                  </w:r>
                </w:p>
              </w:tc>
              <w:tc>
                <w:tcPr>
                  <w:tcW w:type="dxa" w:w="3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实施</w:t>
                  </w:r>
                </w:p>
                <w:p>
                  <w:pPr>
                    <w:pStyle w:val="null3"/>
                    <w:jc w:val="center"/>
                  </w:pPr>
                  <w:r>
                    <w:rPr>
                      <w:rFonts w:ascii="仿宋_GB2312" w:hAnsi="仿宋_GB2312" w:cs="仿宋_GB2312" w:eastAsia="仿宋_GB2312"/>
                      <w:sz w:val="21"/>
                      <w:color w:val="000000"/>
                    </w:rPr>
                    <w:t>详细</w:t>
                  </w:r>
                </w:p>
                <w:p>
                  <w:pPr>
                    <w:pStyle w:val="null3"/>
                    <w:jc w:val="center"/>
                  </w:pPr>
                  <w:r>
                    <w:rPr>
                      <w:rFonts w:ascii="仿宋_GB2312" w:hAnsi="仿宋_GB2312" w:cs="仿宋_GB2312" w:eastAsia="仿宋_GB2312"/>
                      <w:sz w:val="21"/>
                      <w:color w:val="000000"/>
                    </w:rPr>
                    <w:t>规划</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QJ11-5-100(大华DK7)</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地块面积</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5</w:t>
                  </w:r>
                  <w:r>
                    <w:rPr>
                      <w:rFonts w:ascii="仿宋_GB2312" w:hAnsi="仿宋_GB2312" w:cs="仿宋_GB2312" w:eastAsia="仿宋_GB2312"/>
                      <w:sz w:val="21"/>
                      <w:color w:val="000000"/>
                    </w:rPr>
                    <w:t>公顷</w:t>
                  </w:r>
                </w:p>
              </w:tc>
              <w:tc>
                <w:tcPr>
                  <w:tcW w:type="dxa" w:w="366"/>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QJ10-7-73(井上DK2)</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地块面积</w:t>
                  </w:r>
                  <w:r>
                    <w:rPr>
                      <w:rFonts w:ascii="仿宋_GB2312" w:hAnsi="仿宋_GB2312" w:cs="仿宋_GB2312" w:eastAsia="仿宋_GB2312"/>
                      <w:sz w:val="21"/>
                      <w:color w:val="000000"/>
                    </w:rPr>
                    <w:t>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5.5</w:t>
                  </w:r>
                  <w:r>
                    <w:rPr>
                      <w:rFonts w:ascii="仿宋_GB2312" w:hAnsi="仿宋_GB2312" w:cs="仿宋_GB2312" w:eastAsia="仿宋_GB2312"/>
                      <w:sz w:val="21"/>
                      <w:color w:val="000000"/>
                    </w:rPr>
                    <w:t>公顷</w:t>
                  </w:r>
                </w:p>
              </w:tc>
              <w:tc>
                <w:tcPr>
                  <w:tcW w:type="dxa" w:w="366"/>
                  <w:vMerge/>
                  <w:tcBorders>
                    <w:top w:val="none" w:color="000000" w:sz="4"/>
                    <w:left w:val="none" w:color="000000" w:sz="4"/>
                    <w:bottom w:val="none" w:color="000000" w:sz="4"/>
                    <w:right w:val="single" w:color="000000" w:sz="4"/>
                  </w:tcBorders>
                </w:tcPr>
                <w:p/>
              </w:tc>
            </w:tr>
          </w:tbl>
          <w:p>
            <w:pPr>
              <w:pStyle w:val="null3"/>
              <w:ind w:firstLine="420"/>
              <w:jc w:val="both"/>
            </w:pPr>
            <w:r>
              <w:rPr>
                <w:rFonts w:ascii="仿宋_GB2312" w:hAnsi="仿宋_GB2312" w:cs="仿宋_GB2312" w:eastAsia="仿宋_GB2312"/>
                <w:sz w:val="21"/>
                <w:b/>
              </w:rPr>
              <w:t>四、规划目标</w:t>
            </w:r>
          </w:p>
          <w:p>
            <w:pPr>
              <w:pStyle w:val="null3"/>
              <w:ind w:firstLine="420"/>
              <w:jc w:val="both"/>
            </w:pPr>
            <w:r>
              <w:rPr>
                <w:rFonts w:ascii="仿宋_GB2312" w:hAnsi="仿宋_GB2312" w:cs="仿宋_GB2312" w:eastAsia="仿宋_GB2312"/>
                <w:sz w:val="21"/>
              </w:rPr>
              <w:t>按照国、省、市自然资源与规划管理机构安排，落实国土空间规划相关法律、法规规范要求，工作重点为结合国土空间规划最新调整方案，通过现场踏勘和资料收集，完成项目</w:t>
            </w:r>
            <w:r>
              <w:rPr>
                <w:rFonts w:ascii="仿宋_GB2312" w:hAnsi="仿宋_GB2312" w:cs="仿宋_GB2312" w:eastAsia="仿宋_GB2312"/>
                <w:sz w:val="21"/>
              </w:rPr>
              <w:t>实施详细规划的</w:t>
            </w:r>
            <w:r>
              <w:rPr>
                <w:rFonts w:ascii="仿宋_GB2312" w:hAnsi="仿宋_GB2312" w:cs="仿宋_GB2312" w:eastAsia="仿宋_GB2312"/>
                <w:sz w:val="21"/>
              </w:rPr>
              <w:t>相关编制工作。</w:t>
            </w:r>
          </w:p>
          <w:p>
            <w:pPr>
              <w:pStyle w:val="null3"/>
              <w:ind w:firstLine="420"/>
              <w:jc w:val="both"/>
            </w:pPr>
            <w:r>
              <w:rPr>
                <w:rFonts w:ascii="仿宋_GB2312" w:hAnsi="仿宋_GB2312" w:cs="仿宋_GB2312" w:eastAsia="仿宋_GB2312"/>
                <w:sz w:val="21"/>
                <w:b/>
              </w:rPr>
              <w:t>五、编制依据</w:t>
            </w:r>
          </w:p>
          <w:p>
            <w:pPr>
              <w:pStyle w:val="null3"/>
              <w:ind w:firstLine="420"/>
              <w:jc w:val="both"/>
            </w:pPr>
            <w:r>
              <w:rPr>
                <w:rFonts w:ascii="仿宋_GB2312" w:hAnsi="仿宋_GB2312" w:cs="仿宋_GB2312" w:eastAsia="仿宋_GB2312"/>
                <w:sz w:val="21"/>
              </w:rPr>
              <w:t>1、招标人给投标人的委托书或设计中标文件。</w:t>
            </w:r>
          </w:p>
          <w:p>
            <w:pPr>
              <w:pStyle w:val="null3"/>
              <w:ind w:firstLine="420"/>
              <w:jc w:val="both"/>
            </w:pPr>
            <w:r>
              <w:rPr>
                <w:rFonts w:ascii="仿宋_GB2312" w:hAnsi="仿宋_GB2312" w:cs="仿宋_GB2312" w:eastAsia="仿宋_GB2312"/>
                <w:sz w:val="21"/>
              </w:rPr>
              <w:t>2、招标人提交的基础资料。</w:t>
            </w:r>
          </w:p>
          <w:p>
            <w:pPr>
              <w:pStyle w:val="null3"/>
              <w:ind w:firstLine="420"/>
              <w:jc w:val="both"/>
            </w:pPr>
            <w:r>
              <w:rPr>
                <w:rFonts w:ascii="仿宋_GB2312" w:hAnsi="仿宋_GB2312" w:cs="仿宋_GB2312" w:eastAsia="仿宋_GB2312"/>
                <w:sz w:val="21"/>
              </w:rPr>
              <w:t>3、投标人采用的主要法律规范及技术标准：</w:t>
            </w:r>
          </w:p>
          <w:p>
            <w:pPr>
              <w:pStyle w:val="null3"/>
              <w:ind w:firstLine="420"/>
              <w:jc w:val="both"/>
            </w:pPr>
            <w:r>
              <w:rPr>
                <w:rFonts w:ascii="仿宋_GB2312" w:hAnsi="仿宋_GB2312" w:cs="仿宋_GB2312" w:eastAsia="仿宋_GB2312"/>
                <w:sz w:val="21"/>
              </w:rPr>
              <w:t>《中华人民共和国城乡规划法》（</w:t>
            </w:r>
            <w:r>
              <w:rPr>
                <w:rFonts w:ascii="仿宋_GB2312" w:hAnsi="仿宋_GB2312" w:cs="仿宋_GB2312" w:eastAsia="仿宋_GB2312"/>
                <w:sz w:val="21"/>
              </w:rPr>
              <w:t>2019年修订）</w:t>
            </w:r>
          </w:p>
          <w:p>
            <w:pPr>
              <w:pStyle w:val="null3"/>
              <w:ind w:firstLine="420"/>
              <w:jc w:val="both"/>
            </w:pPr>
            <w:r>
              <w:rPr>
                <w:rFonts w:ascii="仿宋_GB2312" w:hAnsi="仿宋_GB2312" w:cs="仿宋_GB2312" w:eastAsia="仿宋_GB2312"/>
                <w:sz w:val="21"/>
              </w:rPr>
              <w:t>《中华人民共和国土地管理法实施条例》（</w:t>
            </w:r>
            <w:r>
              <w:rPr>
                <w:rFonts w:ascii="仿宋_GB2312" w:hAnsi="仿宋_GB2312" w:cs="仿宋_GB2312" w:eastAsia="仿宋_GB2312"/>
                <w:sz w:val="21"/>
              </w:rPr>
              <w:t>2021年）</w:t>
            </w:r>
          </w:p>
          <w:p>
            <w:pPr>
              <w:pStyle w:val="null3"/>
              <w:ind w:firstLine="420"/>
              <w:jc w:val="both"/>
            </w:pPr>
            <w:r>
              <w:rPr>
                <w:rFonts w:ascii="仿宋_GB2312" w:hAnsi="仿宋_GB2312" w:cs="仿宋_GB2312" w:eastAsia="仿宋_GB2312"/>
                <w:sz w:val="21"/>
              </w:rPr>
              <w:t>《国土空间调查、规划、用途管制用地用海分类指南》</w:t>
            </w:r>
          </w:p>
          <w:p>
            <w:pPr>
              <w:pStyle w:val="null3"/>
              <w:ind w:firstLine="420"/>
              <w:jc w:val="both"/>
            </w:pPr>
            <w:r>
              <w:rPr>
                <w:rFonts w:ascii="仿宋_GB2312" w:hAnsi="仿宋_GB2312" w:cs="仿宋_GB2312" w:eastAsia="仿宋_GB2312"/>
                <w:sz w:val="21"/>
              </w:rPr>
              <w:t>《城市居住区规划设计标准》（</w:t>
            </w:r>
            <w:r>
              <w:rPr>
                <w:rFonts w:ascii="仿宋_GB2312" w:hAnsi="仿宋_GB2312" w:cs="仿宋_GB2312" w:eastAsia="仿宋_GB2312"/>
                <w:sz w:val="21"/>
              </w:rPr>
              <w:t>GB50180-2018）</w:t>
            </w:r>
          </w:p>
          <w:p>
            <w:pPr>
              <w:pStyle w:val="null3"/>
              <w:ind w:firstLine="420"/>
              <w:jc w:val="both"/>
            </w:pPr>
            <w:r>
              <w:rPr>
                <w:rFonts w:ascii="仿宋_GB2312" w:hAnsi="仿宋_GB2312" w:cs="仿宋_GB2312" w:eastAsia="仿宋_GB2312"/>
                <w:sz w:val="21"/>
              </w:rPr>
              <w:t>《城市综合交通体系规划标准》（</w:t>
            </w:r>
            <w:r>
              <w:rPr>
                <w:rFonts w:ascii="仿宋_GB2312" w:hAnsi="仿宋_GB2312" w:cs="仿宋_GB2312" w:eastAsia="仿宋_GB2312"/>
                <w:sz w:val="21"/>
              </w:rPr>
              <w:t>GB/T51328-2018）</w:t>
            </w:r>
          </w:p>
          <w:p>
            <w:pPr>
              <w:pStyle w:val="null3"/>
              <w:ind w:firstLine="420"/>
              <w:jc w:val="both"/>
            </w:pPr>
            <w:r>
              <w:rPr>
                <w:rFonts w:ascii="仿宋_GB2312" w:hAnsi="仿宋_GB2312" w:cs="仿宋_GB2312" w:eastAsia="仿宋_GB2312"/>
                <w:sz w:val="21"/>
              </w:rPr>
              <w:t>《城市公共服务设施规划标准》（征求意见稿）</w:t>
            </w:r>
            <w:r>
              <w:rPr>
                <w:rFonts w:ascii="仿宋_GB2312" w:hAnsi="仿宋_GB2312" w:cs="仿宋_GB2312" w:eastAsia="仿宋_GB2312"/>
                <w:sz w:val="21"/>
              </w:rPr>
              <w:t>2021年</w:t>
            </w:r>
          </w:p>
          <w:p>
            <w:pPr>
              <w:pStyle w:val="null3"/>
              <w:ind w:firstLine="420"/>
              <w:jc w:val="both"/>
            </w:pPr>
            <w:r>
              <w:rPr>
                <w:rFonts w:ascii="仿宋_GB2312" w:hAnsi="仿宋_GB2312" w:cs="仿宋_GB2312" w:eastAsia="仿宋_GB2312"/>
                <w:sz w:val="21"/>
              </w:rPr>
              <w:t>《西安市城乡规划管理技术规定》（试行</w:t>
            </w:r>
            <w:r>
              <w:rPr>
                <w:rFonts w:ascii="仿宋_GB2312" w:hAnsi="仿宋_GB2312" w:cs="仿宋_GB2312" w:eastAsia="仿宋_GB2312"/>
                <w:sz w:val="21"/>
              </w:rPr>
              <w:t>-第二版）</w:t>
            </w:r>
          </w:p>
          <w:p>
            <w:pPr>
              <w:pStyle w:val="null3"/>
              <w:ind w:firstLine="420"/>
              <w:jc w:val="both"/>
            </w:pPr>
            <w:r>
              <w:rPr>
                <w:rFonts w:ascii="仿宋_GB2312" w:hAnsi="仿宋_GB2312" w:cs="仿宋_GB2312" w:eastAsia="仿宋_GB2312"/>
                <w:sz w:val="21"/>
              </w:rPr>
              <w:t>《西安市国土空间详细规划编制技术规程》（</w:t>
            </w:r>
            <w:r>
              <w:rPr>
                <w:rFonts w:ascii="仿宋_GB2312" w:hAnsi="仿宋_GB2312" w:cs="仿宋_GB2312" w:eastAsia="仿宋_GB2312"/>
                <w:sz w:val="21"/>
              </w:rPr>
              <w:t>2021年）</w:t>
            </w:r>
          </w:p>
          <w:p>
            <w:pPr>
              <w:pStyle w:val="null3"/>
              <w:ind w:firstLine="420"/>
              <w:jc w:val="both"/>
            </w:pPr>
            <w:r>
              <w:rPr>
                <w:rFonts w:ascii="仿宋_GB2312" w:hAnsi="仿宋_GB2312" w:cs="仿宋_GB2312" w:eastAsia="仿宋_GB2312"/>
                <w:sz w:val="21"/>
              </w:rPr>
              <w:t>《西安市国土空间详细规划编制指引（试行版）》（</w:t>
            </w:r>
            <w:r>
              <w:rPr>
                <w:rFonts w:ascii="仿宋_GB2312" w:hAnsi="仿宋_GB2312" w:cs="仿宋_GB2312" w:eastAsia="仿宋_GB2312"/>
                <w:sz w:val="21"/>
              </w:rPr>
              <w:t>2021年）</w:t>
            </w:r>
          </w:p>
          <w:p>
            <w:pPr>
              <w:pStyle w:val="null3"/>
              <w:ind w:firstLine="420"/>
              <w:jc w:val="both"/>
            </w:pPr>
            <w:r>
              <w:rPr>
                <w:rFonts w:ascii="仿宋_GB2312" w:hAnsi="仿宋_GB2312" w:cs="仿宋_GB2312" w:eastAsia="仿宋_GB2312"/>
                <w:sz w:val="21"/>
              </w:rPr>
              <w:t>《西安市国土空间详细规划编制指导意见》（</w:t>
            </w:r>
            <w:r>
              <w:rPr>
                <w:rFonts w:ascii="仿宋_GB2312" w:hAnsi="仿宋_GB2312" w:cs="仿宋_GB2312" w:eastAsia="仿宋_GB2312"/>
                <w:sz w:val="21"/>
              </w:rPr>
              <w:t>2021年）</w:t>
            </w:r>
          </w:p>
          <w:p>
            <w:pPr>
              <w:pStyle w:val="null3"/>
              <w:ind w:firstLine="420"/>
              <w:jc w:val="both"/>
            </w:pPr>
            <w:r>
              <w:rPr>
                <w:rFonts w:ascii="仿宋_GB2312" w:hAnsi="仿宋_GB2312" w:cs="仿宋_GB2312" w:eastAsia="仿宋_GB2312"/>
                <w:sz w:val="21"/>
              </w:rPr>
              <w:t>《西安曲江大明宫遗址区国土空间详细规划》在编</w:t>
            </w:r>
          </w:p>
          <w:p>
            <w:pPr>
              <w:pStyle w:val="null3"/>
              <w:ind w:firstLine="420"/>
              <w:jc w:val="both"/>
            </w:pPr>
            <w:r>
              <w:rPr>
                <w:rFonts w:ascii="仿宋_GB2312" w:hAnsi="仿宋_GB2312" w:cs="仿宋_GB2312" w:eastAsia="仿宋_GB2312"/>
                <w:sz w:val="21"/>
              </w:rPr>
              <w:t>《西安市未央区国土空间总体规划（</w:t>
            </w:r>
            <w:r>
              <w:rPr>
                <w:rFonts w:ascii="仿宋_GB2312" w:hAnsi="仿宋_GB2312" w:cs="仿宋_GB2312" w:eastAsia="仿宋_GB2312"/>
                <w:sz w:val="21"/>
              </w:rPr>
              <w:t>2021-2035年）》</w:t>
            </w:r>
          </w:p>
          <w:p>
            <w:pPr>
              <w:pStyle w:val="null3"/>
              <w:ind w:firstLine="420"/>
              <w:jc w:val="both"/>
            </w:pPr>
            <w:r>
              <w:rPr>
                <w:rFonts w:ascii="仿宋_GB2312" w:hAnsi="仿宋_GB2312" w:cs="仿宋_GB2312" w:eastAsia="仿宋_GB2312"/>
                <w:sz w:val="21"/>
              </w:rPr>
              <w:t>《西安市国土空间总体规划（</w:t>
            </w:r>
            <w:r>
              <w:rPr>
                <w:rFonts w:ascii="仿宋_GB2312" w:hAnsi="仿宋_GB2312" w:cs="仿宋_GB2312" w:eastAsia="仿宋_GB2312"/>
                <w:sz w:val="21"/>
              </w:rPr>
              <w:t>2021-2035年）》</w:t>
            </w:r>
          </w:p>
          <w:p>
            <w:pPr>
              <w:pStyle w:val="null3"/>
              <w:ind w:firstLine="420"/>
              <w:jc w:val="both"/>
            </w:pPr>
            <w:r>
              <w:rPr>
                <w:rFonts w:ascii="仿宋_GB2312" w:hAnsi="仿宋_GB2312" w:cs="仿宋_GB2312" w:eastAsia="仿宋_GB2312"/>
                <w:sz w:val="21"/>
              </w:rPr>
              <w:t>4、投标人采用的主要上位规划依据（但不限于）：</w:t>
            </w:r>
          </w:p>
          <w:p>
            <w:pPr>
              <w:pStyle w:val="null3"/>
              <w:ind w:firstLine="420"/>
              <w:jc w:val="both"/>
            </w:pPr>
            <w:r>
              <w:rPr>
                <w:rFonts w:ascii="仿宋_GB2312" w:hAnsi="仿宋_GB2312" w:cs="仿宋_GB2312" w:eastAsia="仿宋_GB2312"/>
                <w:sz w:val="21"/>
              </w:rPr>
              <w:t>《西安市国土空间总体规划（</w:t>
            </w:r>
            <w:r>
              <w:rPr>
                <w:rFonts w:ascii="仿宋_GB2312" w:hAnsi="仿宋_GB2312" w:cs="仿宋_GB2312" w:eastAsia="仿宋_GB2312"/>
                <w:sz w:val="21"/>
              </w:rPr>
              <w:t>2021-2035年）》（已批复）</w:t>
            </w:r>
            <w:r>
              <w:rPr>
                <w:rFonts w:ascii="仿宋_GB2312" w:hAnsi="仿宋_GB2312" w:cs="仿宋_GB2312" w:eastAsia="仿宋_GB2312"/>
                <w:sz w:val="21"/>
              </w:rPr>
              <w:t>，</w:t>
            </w:r>
            <w:r>
              <w:rPr>
                <w:rFonts w:ascii="仿宋_GB2312" w:hAnsi="仿宋_GB2312" w:cs="仿宋_GB2312" w:eastAsia="仿宋_GB2312"/>
                <w:sz w:val="21"/>
              </w:rPr>
              <w:t>分区规划、相关专项规划阶段性成果。</w:t>
            </w:r>
          </w:p>
          <w:p>
            <w:pPr>
              <w:pStyle w:val="null3"/>
              <w:ind w:firstLine="420"/>
              <w:jc w:val="both"/>
            </w:pPr>
            <w:r>
              <w:rPr>
                <w:rFonts w:ascii="仿宋_GB2312" w:hAnsi="仿宋_GB2312" w:cs="仿宋_GB2312" w:eastAsia="仿宋_GB2312"/>
                <w:sz w:val="21"/>
                <w:b/>
              </w:rPr>
              <w:t>六、成果要求</w:t>
            </w:r>
          </w:p>
          <w:p>
            <w:pPr>
              <w:pStyle w:val="null3"/>
              <w:jc w:val="both"/>
            </w:pPr>
            <w:r>
              <w:rPr>
                <w:rFonts w:ascii="仿宋_GB2312" w:hAnsi="仿宋_GB2312" w:cs="仿宋_GB2312" w:eastAsia="仿宋_GB2312"/>
                <w:sz w:val="21"/>
              </w:rPr>
              <w:t>根据招标人要求提供汇集成册的纸质文件或电子文件（成果包含文本说明书），提供格式以招标人最终要求为准。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初步设计方案完成审查后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项目初步成果过审后，经甲方确认无修改意见后开展项目绩效评价，完成项目评价且乙方向甲方提交双方已确认的正式技术成果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详见合同部分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3.4.1磋商文件中采购标的所属行业为“其他未列明行业”。从业人员300人以下的为中小微型企业。其中，从业人员100人及以上的为中型企业；从业人员10人及以上的为小型企业；从业人员10人以下的为微型企业。 3.4.2如磋商文件中融资相关内容与新政策要求有出入，按照最新要求执行。 3.4.3支付约定补充：第一阶段：自本合同签订后五日内，甲方应支付总费用的30％，其中相当于合同总费用20%的金额为本合同定金。第二阶段：初步设计方案完成审查后五日内，甲方支付乙方合同总费用的50％。第三阶段：项目初步成果过审后，经甲方确认无修改意见后开展项目绩效评价，完成项目评价且乙方向甲方提交双方已确认的正式技术成果当日，甲方应一次性结清剩余合同款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供应商参加本次采购活动3年内，在经营活动中没有重大违法记录以及未被列入失信被执行人、重大税收违法案件当事人名单、政府采购严重违法失信行为记录名单的书面声明；（6）法定代表人（单位负责人）参加投标的，提供本人身份证；法定代表人（单位负责人）授权他人参加投标的，提供法定代表人委托授权书并出示被授权代表的身份证。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财务报告：供应商2023年度或2024年度财务会计报告，包括 “四表一注” 或者提供响应文件递交截止时间6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供应商须具备相关行政主管部门颁发的城乡规划编制乙级及以上资质证书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项目负责人须具有注册城乡规划师证书或具有该专业高级及以上职称</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报价唯一且不超过最高限价或预算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符合磋商文件对服务期限的要求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对项目的理解及需求分析</w:t>
            </w:r>
          </w:p>
        </w:tc>
        <w:tc>
          <w:tcPr>
            <w:tcW w:type="dxa" w:w="2492"/>
          </w:tcPr>
          <w:p>
            <w:pPr>
              <w:pStyle w:val="null3"/>
            </w:pPr>
            <w:r>
              <w:rPr>
                <w:rFonts w:ascii="仿宋_GB2312" w:hAnsi="仿宋_GB2312" w:cs="仿宋_GB2312" w:eastAsia="仿宋_GB2312"/>
              </w:rPr>
              <w:t>一、评审内容： 根据供应商提供的对本项目背景、服务内容和需求的理解与分析进行评价。 二、评审标准： 1、完整性：内容全面，对评审内容中的各项要求有详细描述。 2、针对性：内容能够紧扣项目实际情况，内容科学合理。 3、可实施性：切合本项目实际情况，提出步骤清晰、合理的方案。 二、赋分标准（满分3分） 对项目的理解及需求分析：每完全满足一个评审标准得0-1分，本评审满分3分。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内容提出适用于本项目的整体服务方案，方案包括：①编制大纲、编制依据、思路和方法；②现状建设的分析；③单元基本信息的分析；④开发建设情况（含经济指标）、公共服务设施、城市设计、交通组织、实施图则等内容的分析研究；⑤落实规划设计意向方案示意、空间模型示意等；⑥工作进度计划安排。 二、评审标准： 1、完整性：内容全面，对评审内容中的各项要求有详细描述。 2、针对性：内容能够紧扣项目实际情况，内容科学合理。 3、可实施性：切合本项目实际情况，提出步骤清晰、合理的方案。 三、赋分标准（满分54分） ①编制大纲、编制依据、思路和方法：每完全满足一个评审标准得0-3分，本评审满分9分。 ②现状建设的分析：每完全满足一个评审标准得0-3分，本评审满分9分。 ③单元基本信息的分析：每完全满足一个评审标准得0-3分，本评审满分9分。 ④开发建设情况（含经济指标）、公共服务设施、城市设计、交通组织、实施图则等内容的分析研究：每完全满足一个评审标准得0-3分，本评审满分9分。 ⑤落实规划设计意向方案示意、空间模型示意等：每完全满足一个评审标准得0-3分，本评审满分9分。 ⑥工作进度计划安排：每完全满足一个评审标准得0-3分，本评审满分9分。</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针对本项目内容提出适用于本项目的保障措施，方案包括：①服务质量保证措施；②出现突发状况或问题后的补救措施。 二、评审标准 1、完整性：措施全面，对评审内容中的各项要求有详细描述。 2、可实施性：切合本项目实际情况，提出步骤清晰、合理的保障措施。 三、赋分标准（满分4分） ①服务质量保证措施：每完全满足一个评审标准得0-1分，本评审满分2分。 ②出现突发状况或问题后的补救措施：每完全满足一个评审标准得0-1分，本评审满分2分。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1、项目负责人具有城市规划专业高级工程师职称得2分，具有注册城市规划师资格得2分，满分4分。提供人员相关证书，不提供则不得分。 2、项目组成员中，每有一人具有高级工程师职称或注册城市规划师资格的得2分，满分6分，提供人员相关证书，不提供则不得分。 3、人员组织架构（5分） 3.1项目团队配置合理，人员组织架构完整，岗位设置合理、明确，技术人员专业性、经验性强，且对本项目有针对性，得5分； 3.2人员组织架构完善程度一般，岗位设置合理，技术人员专业性、经验性较强，得3分； 3.3人员组织架构有待优化，技术人员岗位设置基本合理，人员专业性、经验性一般，得1分。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针对本项目内容提出适用于本项目的服务承诺，包括：①服务保障措施，包括组织保障、人员保障、设备保障；②本项目后续服务工作承诺及合理化建议、内部质控制度及审核流程。 二、评审标准 1、完整性：承诺必须全面，对评审内容中的各项要求有详细描述。 2、可实施性：切合本项目实际情况，提出合理的承诺内容。 三、赋分标准（满分4分） ①服务保障措施，包括组织保障、人员保障、设备保障：每完全满足一个评审标准得0-1分，本评审满分2分。 ②本项目后续服务工作承诺及合理化建议、内部质控制度及审核流程：每完全满足一个评审标准得0-1分，本评审满分2分。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以供应商近年（2020年1月1日以来）同类业绩计算，每提供一个得2分，满分10分。 注：以供应商加盖公章的业绩合同复印件或扫描件为准，时间以签署日期为准。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满足磋商文件要求且磋商价格最低的磋商报价为评标基准价，其价格分为满分。最低磋商报价不是中标的唯一依据。因落实政府采购政策进行价格调整的，以调整后的价格计算评标基准价和磋商报价，价格分按照下列公式计算。磋商报价得分=（评标基准价／最后磋商报价）×100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