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版本号：SXBH2025-ZCCS-018.1B120250709001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食堂服务业务委托项目(二次)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SXBH2025-ZCCS-018.1B1</w:t>
      </w:r>
      <w:r>
        <w:br/>
      </w:r>
      <w:r>
        <w:br/>
      </w:r>
      <w:r>
        <w:br/>
      </w:r>
    </w:p>
    <w:p>
      <w:pPr>
        <w:pStyle w:val="null3"/>
        <w:jc w:val="center"/>
        <w:outlineLvl w:val="2"/>
      </w:pPr>
      <w:r>
        <w:rPr>
          <w:rFonts w:ascii="仿宋_GB2312" w:hAnsi="仿宋_GB2312" w:cs="仿宋_GB2312" w:eastAsia="仿宋_GB2312"/>
          <w:sz w:val="28"/>
          <w:b/>
        </w:rPr>
        <w:t>西安中央文化商务区管理中心</w:t>
      </w:r>
    </w:p>
    <w:p>
      <w:pPr>
        <w:pStyle w:val="null3"/>
        <w:jc w:val="center"/>
        <w:outlineLvl w:val="2"/>
      </w:pPr>
      <w:r>
        <w:rPr>
          <w:rFonts w:ascii="仿宋_GB2312" w:hAnsi="仿宋_GB2312" w:cs="仿宋_GB2312" w:eastAsia="仿宋_GB2312"/>
          <w:sz w:val="28"/>
          <w:b/>
        </w:rPr>
        <w:t>陕西博虹项目管理有限公司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陕西博虹项目管理有限公司</w:t>
      </w:r>
      <w:r>
        <w:rPr>
          <w:rFonts w:ascii="仿宋_GB2312" w:hAnsi="仿宋_GB2312" w:cs="仿宋_GB2312" w:eastAsia="仿宋_GB2312"/>
        </w:rPr>
        <w:t>（以下简称“代理机构”）受</w:t>
      </w:r>
      <w:r>
        <w:rPr>
          <w:rFonts w:ascii="仿宋_GB2312" w:hAnsi="仿宋_GB2312" w:cs="仿宋_GB2312" w:eastAsia="仿宋_GB2312"/>
        </w:rPr>
        <w:t>西安中央文化商务区管理中心</w:t>
      </w:r>
      <w:r>
        <w:rPr>
          <w:rFonts w:ascii="仿宋_GB2312" w:hAnsi="仿宋_GB2312" w:cs="仿宋_GB2312" w:eastAsia="仿宋_GB2312"/>
        </w:rPr>
        <w:t>委托，拟对</w:t>
      </w:r>
      <w:r>
        <w:rPr>
          <w:rFonts w:ascii="仿宋_GB2312" w:hAnsi="仿宋_GB2312" w:cs="仿宋_GB2312" w:eastAsia="仿宋_GB2312"/>
        </w:rPr>
        <w:t>食堂服务业务委托项目(二次)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SXBH2025-ZCCS-018.1B1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食堂服务业务委托项目(二次)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食堂服务业务委托，详见竞争性磋商文件第三章服务内容及服务要求。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采购包1（食堂服务业务委托项目）：属于专门面向中小企业采购。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2、社会保障资金缴纳证明：供应商提供2024年7月至磋商响应文件递交截止之日前任意1个月的缴费凭据或社保机构开具的社会保险参保缴费情况证明；依法不需要缴纳社会保障资金的应提供相关文件证明；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3、税收缴纳证明：供应商提供2024年7月至磋商响应文件递交截止之日前任意1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4、财务状况证明：提供2023或2024年度经审计的财务报告或开标前六个月内其基本账户银行出具的资信证明或财政部门认可的政府采购专业担保机构出具的担保函；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5、书面声明：参加政府采购活动前三年内在经营活动中没有重大违法记录的书面声明；投标供应商自行出具承诺书即可；</w:t>
      </w:r>
    </w:p>
    <w:p>
      <w:pPr>
        <w:pStyle w:val="null3"/>
      </w:pPr>
      <w:r>
        <w:rPr>
          <w:rFonts w:ascii="仿宋_GB2312" w:hAnsi="仿宋_GB2312" w:cs="仿宋_GB2312" w:eastAsia="仿宋_GB2312"/>
        </w:rPr>
        <w:t>6、具有履行合同所必需的设备和专业技术能力：具有履行合同所必需的设备和专业技术能力：由投标供应商自行出具具备履行合同所必需的设备和专业技术能力的承诺书；</w:t>
      </w:r>
    </w:p>
    <w:p>
      <w:pPr>
        <w:pStyle w:val="null3"/>
      </w:pPr>
      <w:r>
        <w:rPr>
          <w:rFonts w:ascii="仿宋_GB2312" w:hAnsi="仿宋_GB2312" w:cs="仿宋_GB2312" w:eastAsia="仿宋_GB2312"/>
        </w:rPr>
        <w:t>7、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8、信用记录：信用记录：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p>
    <w:p>
      <w:pPr>
        <w:pStyle w:val="null3"/>
      </w:pPr>
      <w:r>
        <w:rPr>
          <w:rFonts w:ascii="仿宋_GB2312" w:hAnsi="仿宋_GB2312" w:cs="仿宋_GB2312" w:eastAsia="仿宋_GB2312"/>
        </w:rPr>
        <w:t>9、非联合体声明：本项目不接受联合体投标，供应商提供非联合体书面声明；</w:t>
      </w:r>
    </w:p>
    <w:p>
      <w:pPr>
        <w:pStyle w:val="null3"/>
      </w:pPr>
      <w:r>
        <w:rPr>
          <w:rFonts w:ascii="仿宋_GB2312" w:hAnsi="仿宋_GB2312" w:cs="仿宋_GB2312" w:eastAsia="仿宋_GB2312"/>
        </w:rPr>
        <w:t>10、限制投标要求：投标供应商单位负责人为同一人或者存在直接控股、管理关系的不同供应商，不得参加同一项目或同一标段的政府采购活动；</w:t>
      </w:r>
    </w:p>
    <w:p>
      <w:pPr>
        <w:pStyle w:val="null3"/>
      </w:pPr>
      <w:r>
        <w:rPr>
          <w:rFonts w:ascii="仿宋_GB2312" w:hAnsi="仿宋_GB2312" w:cs="仿宋_GB2312" w:eastAsia="仿宋_GB2312"/>
        </w:rPr>
        <w:t>11、限制投标要求：除单一来源采购项目外，为采购项目提供整体设计、规范编制或者项目管理、监理、检测等服务的供应商，不得再参加同一项目的其他采购活动。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西安中央文化商务区管理中心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西安市曲江新区春临二路1450号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18591796688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陕西省西安市雁塔区西安曲江新区雁翔路3269号旺座曲江C座1505室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马延娜、张维昕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17791158032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029-68660082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采购包1：695,496.00元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2002年颁发的《招标代理服务收费管理暂行办法》(计价格〔2002〕1980号)、国家发展改革委员会办公厅颁发的《关于招标代理服务费收费有关问题的通知》（发改办价格〔2003〕857号）及《调整后的招标代理服务收费标准》(发改价格〔2011〕534号)的规定标准收取。 2、银行户名：陕西博虹项目管理有限公司 开户银行：中信银行西安高新路支行 账 号：8111701012600820197 联 系 人：徐言伟 联系电话：17691080059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西安中央文化商务区管理中心</w:t>
      </w:r>
      <w:r>
        <w:rPr>
          <w:rFonts w:ascii="仿宋_GB2312" w:hAnsi="仿宋_GB2312" w:cs="仿宋_GB2312" w:eastAsia="仿宋_GB2312"/>
        </w:rPr>
        <w:t>和</w:t>
      </w:r>
      <w:r>
        <w:rPr>
          <w:rFonts w:ascii="仿宋_GB2312" w:hAnsi="仿宋_GB2312" w:cs="仿宋_GB2312" w:eastAsia="仿宋_GB2312"/>
        </w:rPr>
        <w:t>陕西博虹项目管理有限公司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西安中央文化商务区管理中心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西安中央文化商务区管理中心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（1）合同文本；（2）响应文件及澄清函、采购文件；（3）国家和行业制定的相应的标准和规范。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联系人：马延娜、张维昕</w:t>
      </w:r>
    </w:p>
    <w:p>
      <w:pPr>
        <w:pStyle w:val="null3"/>
      </w:pPr>
      <w:r>
        <w:rPr>
          <w:rFonts w:ascii="仿宋_GB2312" w:hAnsi="仿宋_GB2312" w:cs="仿宋_GB2312" w:eastAsia="仿宋_GB2312"/>
        </w:rPr>
        <w:t>联系电话：17791158032</w:t>
      </w:r>
    </w:p>
    <w:p>
      <w:pPr>
        <w:pStyle w:val="null3"/>
      </w:pPr>
      <w:r>
        <w:rPr>
          <w:rFonts w:ascii="仿宋_GB2312" w:hAnsi="仿宋_GB2312" w:cs="仿宋_GB2312" w:eastAsia="仿宋_GB2312"/>
        </w:rPr>
        <w:t>地址：陕西省西安市雁塔区西安曲江新区雁翔路3269号旺座曲江C座1505室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食堂服务业务委托，详见竞争性磋商文件第三章服务内容及服务要求。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695,496.00</w:t>
      </w:r>
    </w:p>
    <w:p>
      <w:pPr>
        <w:pStyle w:val="null3"/>
      </w:pPr>
      <w:r>
        <w:rPr>
          <w:rFonts w:ascii="仿宋_GB2312" w:hAnsi="仿宋_GB2312" w:cs="仿宋_GB2312" w:eastAsia="仿宋_GB2312"/>
        </w:rPr>
        <w:t>采购包最高限价（元）: 695,496.00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食堂服务业务委托</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695,496.00</w:t>
            </w:r>
          </w:p>
        </w:tc>
        <w:tc>
          <w:tcPr>
            <w:tcW w:type="dxa" w:w="831"/>
          </w:tcPr>
          <w:p>
            <w:pPr>
              <w:pStyle w:val="null3"/>
            </w:pPr>
            <w:r>
              <w:rPr>
                <w:rFonts w:ascii="仿宋_GB2312" w:hAnsi="仿宋_GB2312" w:cs="仿宋_GB2312" w:eastAsia="仿宋_GB2312"/>
              </w:rPr>
              <w:t>月</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标的名称：食堂服务业务委托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餐厅服务需求</w:t>
            </w:r>
          </w:p>
          <w:p>
            <w:pPr>
              <w:pStyle w:val="null3"/>
            </w:pPr>
            <w:r>
              <w:rPr>
                <w:rFonts w:ascii="仿宋_GB2312" w:hAnsi="仿宋_GB2312" w:cs="仿宋_GB2312" w:eastAsia="仿宋_GB2312"/>
              </w:rPr>
              <w:t>（一）餐厅食堂水电气及操作设备安全需求</w:t>
            </w:r>
          </w:p>
          <w:p>
            <w:pPr>
              <w:pStyle w:val="null3"/>
            </w:pPr>
            <w:r>
              <w:rPr>
                <w:rFonts w:ascii="仿宋_GB2312" w:hAnsi="仿宋_GB2312" w:cs="仿宋_GB2312" w:eastAsia="仿宋_GB2312"/>
              </w:rPr>
              <w:t>1</w:t>
            </w:r>
            <w:r>
              <w:rPr>
                <w:rFonts w:ascii="仿宋_GB2312" w:hAnsi="仿宋_GB2312" w:cs="仿宋_GB2312" w:eastAsia="仿宋_GB2312"/>
              </w:rPr>
              <w:t>、要求餐厅食堂相关工作人员每日每餐对水电气使用情况进行检查，特别是每天最后一餐收餐后严格检查保证每餐每日用餐结束后水电气正常安全关闭，如有任何问题第一时间联系专业人士进行维修。</w:t>
            </w:r>
          </w:p>
          <w:p>
            <w:pPr>
              <w:pStyle w:val="null3"/>
            </w:pPr>
            <w:r>
              <w:rPr>
                <w:rFonts w:ascii="仿宋_GB2312" w:hAnsi="仿宋_GB2312" w:cs="仿宋_GB2312" w:eastAsia="仿宋_GB2312"/>
              </w:rPr>
              <w:t>2</w:t>
            </w:r>
            <w:r>
              <w:rPr>
                <w:rFonts w:ascii="仿宋_GB2312" w:hAnsi="仿宋_GB2312" w:cs="仿宋_GB2312" w:eastAsia="仿宋_GB2312"/>
              </w:rPr>
              <w:t>、餐厅食堂配备了灭火器、灭火毯，定期对人员进行消防知识培训。</w:t>
            </w:r>
          </w:p>
          <w:p>
            <w:pPr>
              <w:pStyle w:val="null3"/>
            </w:pPr>
            <w:r>
              <w:rPr>
                <w:rFonts w:ascii="仿宋_GB2312" w:hAnsi="仿宋_GB2312" w:cs="仿宋_GB2312" w:eastAsia="仿宋_GB2312"/>
              </w:rPr>
              <w:t>3</w:t>
            </w:r>
            <w:r>
              <w:rPr>
                <w:rFonts w:ascii="仿宋_GB2312" w:hAnsi="仿宋_GB2312" w:cs="仿宋_GB2312" w:eastAsia="仿宋_GB2312"/>
              </w:rPr>
              <w:t>、所有操作操作设备明确责任人，所有工作人员必须带帽子及口罩进入操作间。要求每个设备操作人员严格按照设备操作安全规范操作。设备定期进行检修。</w:t>
            </w:r>
          </w:p>
          <w:p>
            <w:pPr>
              <w:pStyle w:val="null3"/>
            </w:pPr>
            <w:r>
              <w:rPr>
                <w:rFonts w:ascii="仿宋_GB2312" w:hAnsi="仿宋_GB2312" w:cs="仿宋_GB2312" w:eastAsia="仿宋_GB2312"/>
              </w:rPr>
              <w:t>（二）卫生安全需求</w:t>
            </w:r>
          </w:p>
          <w:p>
            <w:pPr>
              <w:pStyle w:val="null3"/>
            </w:pPr>
            <w:r>
              <w:rPr>
                <w:rFonts w:ascii="仿宋_GB2312" w:hAnsi="仿宋_GB2312" w:cs="仿宋_GB2312" w:eastAsia="仿宋_GB2312"/>
              </w:rPr>
              <w:t>1</w:t>
            </w:r>
            <w:r>
              <w:rPr>
                <w:rFonts w:ascii="仿宋_GB2312" w:hAnsi="仿宋_GB2312" w:cs="仿宋_GB2312" w:eastAsia="仿宋_GB2312"/>
              </w:rPr>
              <w:t>、后厨、餐厅必须严格按照每日一小扫，每周一大扫制度进行卫生打扫，后厨、餐厅、食材库房必须随时保持整洁物品堆放整齐。</w:t>
            </w:r>
          </w:p>
          <w:p>
            <w:pPr>
              <w:pStyle w:val="null3"/>
            </w:pPr>
            <w:r>
              <w:rPr>
                <w:rFonts w:ascii="仿宋_GB2312" w:hAnsi="仿宋_GB2312" w:cs="仿宋_GB2312" w:eastAsia="仿宋_GB2312"/>
              </w:rPr>
              <w:t>2</w:t>
            </w:r>
            <w:r>
              <w:rPr>
                <w:rFonts w:ascii="仿宋_GB2312" w:hAnsi="仿宋_GB2312" w:cs="仿宋_GB2312" w:eastAsia="仿宋_GB2312"/>
              </w:rPr>
              <w:t>、当日验收过的食材需及时入库、入冰箱，禁止随意堆放，避免食物出现发霉变质情况。</w:t>
            </w:r>
          </w:p>
          <w:p>
            <w:pPr>
              <w:pStyle w:val="null3"/>
            </w:pPr>
            <w:r>
              <w:rPr>
                <w:rFonts w:ascii="仿宋_GB2312" w:hAnsi="仿宋_GB2312" w:cs="仿宋_GB2312" w:eastAsia="仿宋_GB2312"/>
              </w:rPr>
              <w:t>3</w:t>
            </w:r>
            <w:r>
              <w:rPr>
                <w:rFonts w:ascii="仿宋_GB2312" w:hAnsi="仿宋_GB2312" w:cs="仿宋_GB2312" w:eastAsia="仿宋_GB2312"/>
              </w:rPr>
              <w:t>、定期进行鼠患、蟑螂清灭工作，消杀费用由供应商负责。</w:t>
            </w:r>
          </w:p>
          <w:p>
            <w:pPr>
              <w:pStyle w:val="null3"/>
            </w:pPr>
            <w:r>
              <w:rPr>
                <w:rFonts w:ascii="仿宋_GB2312" w:hAnsi="仿宋_GB2312" w:cs="仿宋_GB2312" w:eastAsia="仿宋_GB2312"/>
              </w:rPr>
              <w:t>4</w:t>
            </w:r>
            <w:r>
              <w:rPr>
                <w:rFonts w:ascii="仿宋_GB2312" w:hAnsi="仿宋_GB2312" w:cs="仿宋_GB2312" w:eastAsia="仿宋_GB2312"/>
              </w:rPr>
              <w:t>、定期进行厨房油烟系统清洗工作，清洗费用由供应商负责，保证厨房整体日常干净卫生。</w:t>
            </w:r>
          </w:p>
          <w:p>
            <w:pPr>
              <w:pStyle w:val="null3"/>
            </w:pPr>
            <w:r>
              <w:rPr>
                <w:rFonts w:ascii="仿宋_GB2312" w:hAnsi="仿宋_GB2312" w:cs="仿宋_GB2312" w:eastAsia="仿宋_GB2312"/>
              </w:rPr>
              <w:t>5</w:t>
            </w:r>
            <w:r>
              <w:rPr>
                <w:rFonts w:ascii="仿宋_GB2312" w:hAnsi="仿宋_GB2312" w:cs="仿宋_GB2312" w:eastAsia="仿宋_GB2312"/>
              </w:rPr>
              <w:t>、所有餐具必须严格按照清洗消毒流程保证餐具使用卫生，发现破损餐具第一时间进行更换。</w:t>
            </w:r>
          </w:p>
          <w:p>
            <w:pPr>
              <w:pStyle w:val="null3"/>
            </w:pPr>
            <w:r>
              <w:rPr>
                <w:rFonts w:ascii="仿宋_GB2312" w:hAnsi="仿宋_GB2312" w:cs="仿宋_GB2312" w:eastAsia="仿宋_GB2312"/>
              </w:rPr>
              <w:t>6</w:t>
            </w:r>
            <w:r>
              <w:rPr>
                <w:rFonts w:ascii="仿宋_GB2312" w:hAnsi="仿宋_GB2312" w:cs="仿宋_GB2312" w:eastAsia="仿宋_GB2312"/>
              </w:rPr>
              <w:t>、炉灶、案板、饭台、饭槽、冰柜、冰箱、平冷柜、烤箱、电饼档等操作设备必须保持日常干净卫生，不得出现明显痕迹。冷冻冷藏设备定期除冰。</w:t>
            </w:r>
          </w:p>
          <w:p>
            <w:pPr>
              <w:pStyle w:val="null3"/>
            </w:pPr>
            <w:r>
              <w:rPr>
                <w:rFonts w:ascii="仿宋_GB2312" w:hAnsi="仿宋_GB2312" w:cs="仿宋_GB2312" w:eastAsia="仿宋_GB2312"/>
              </w:rPr>
              <w:t>7</w:t>
            </w:r>
            <w:r>
              <w:rPr>
                <w:rFonts w:ascii="仿宋_GB2312" w:hAnsi="仿宋_GB2312" w:cs="仿宋_GB2312" w:eastAsia="仿宋_GB2312"/>
              </w:rPr>
              <w:t>、就餐餐厅随时保持桌面地面、墙面等就餐环境整洁，发现有残留食品、废纸等垃圾、倒洒汤汁需第一时间进行清理，同时保持餐厅卫生间卫生整洁。</w:t>
            </w:r>
          </w:p>
          <w:p>
            <w:pPr>
              <w:pStyle w:val="null3"/>
            </w:pPr>
            <w:r>
              <w:rPr>
                <w:rFonts w:ascii="仿宋_GB2312" w:hAnsi="仿宋_GB2312" w:cs="仿宋_GB2312" w:eastAsia="仿宋_GB2312"/>
              </w:rPr>
              <w:t>8</w:t>
            </w:r>
            <w:r>
              <w:rPr>
                <w:rFonts w:ascii="仿宋_GB2312" w:hAnsi="仿宋_GB2312" w:cs="仿宋_GB2312" w:eastAsia="仿宋_GB2312"/>
              </w:rPr>
              <w:t>、日常锅碗瓢盆、菜墩、刀具、汤勺、菜盆等使用完毕必须 清洗干净定期消毒摆放整齐。</w:t>
            </w:r>
          </w:p>
          <w:p>
            <w:pPr>
              <w:pStyle w:val="null3"/>
            </w:pPr>
            <w:r>
              <w:rPr>
                <w:rFonts w:ascii="仿宋_GB2312" w:hAnsi="仿宋_GB2312" w:cs="仿宋_GB2312" w:eastAsia="仿宋_GB2312"/>
              </w:rPr>
              <w:t>9</w:t>
            </w:r>
            <w:r>
              <w:rPr>
                <w:rFonts w:ascii="仿宋_GB2312" w:hAnsi="仿宋_GB2312" w:cs="仿宋_GB2312" w:eastAsia="仿宋_GB2312"/>
              </w:rPr>
              <w:t>、每日将剩余饭菜残渣泔水按时收集，做好垃圾分类工作。</w:t>
            </w:r>
          </w:p>
          <w:p>
            <w:pPr>
              <w:pStyle w:val="null3"/>
            </w:pPr>
            <w:r>
              <w:rPr>
                <w:rFonts w:ascii="仿宋_GB2312" w:hAnsi="仿宋_GB2312" w:cs="仿宋_GB2312" w:eastAsia="仿宋_GB2312"/>
              </w:rPr>
              <w:t>（三）食品验收及储存需求</w:t>
            </w:r>
          </w:p>
          <w:p>
            <w:pPr>
              <w:pStyle w:val="null3"/>
            </w:pPr>
            <w:r>
              <w:rPr>
                <w:rFonts w:ascii="仿宋_GB2312" w:hAnsi="仿宋_GB2312" w:cs="仿宋_GB2312" w:eastAsia="仿宋_GB2312"/>
              </w:rPr>
              <w:t>1</w:t>
            </w:r>
            <w:r>
              <w:rPr>
                <w:rFonts w:ascii="仿宋_GB2312" w:hAnsi="仿宋_GB2312" w:cs="仿宋_GB2312" w:eastAsia="仿宋_GB2312"/>
              </w:rPr>
              <w:t>、每日食材供货商供货的各种食材必须是符合国家食品卫生安全标准的食材，必须有相关的合格证检疫证农药物品残留检测报告，必须保持各种食材的新鲜度，相关厨师及食堂管理人员每日对当天送来的食材严格检查，合理入库、入冷藏设备内。</w:t>
            </w:r>
          </w:p>
          <w:p>
            <w:pPr>
              <w:pStyle w:val="null3"/>
            </w:pPr>
            <w:r>
              <w:rPr>
                <w:rFonts w:ascii="仿宋_GB2312" w:hAnsi="仿宋_GB2312" w:cs="仿宋_GB2312" w:eastAsia="仿宋_GB2312"/>
              </w:rPr>
              <w:t>2</w:t>
            </w:r>
            <w:r>
              <w:rPr>
                <w:rFonts w:ascii="仿宋_GB2312" w:hAnsi="仿宋_GB2312" w:cs="仿宋_GB2312" w:eastAsia="仿宋_GB2312"/>
              </w:rPr>
              <w:t>、对每餐的所有菜品进行留样保存，并做好食品留样保存记录。</w:t>
            </w:r>
          </w:p>
          <w:p>
            <w:pPr>
              <w:pStyle w:val="null3"/>
            </w:pPr>
            <w:r>
              <w:rPr>
                <w:rFonts w:ascii="仿宋_GB2312" w:hAnsi="仿宋_GB2312" w:cs="仿宋_GB2312" w:eastAsia="仿宋_GB2312"/>
              </w:rPr>
              <w:t>3</w:t>
            </w:r>
            <w:r>
              <w:rPr>
                <w:rFonts w:ascii="仿宋_GB2312" w:hAnsi="仿宋_GB2312" w:cs="仿宋_GB2312" w:eastAsia="仿宋_GB2312"/>
              </w:rPr>
              <w:t>、如出现食品安全问题将逐级上报严肃依法处理。</w:t>
            </w:r>
          </w:p>
          <w:p>
            <w:pPr>
              <w:pStyle w:val="null3"/>
            </w:pPr>
            <w:r>
              <w:rPr>
                <w:rFonts w:ascii="仿宋_GB2312" w:hAnsi="仿宋_GB2312" w:cs="仿宋_GB2312" w:eastAsia="仿宋_GB2312"/>
              </w:rPr>
              <w:t>（四）相关采购要求</w:t>
            </w:r>
          </w:p>
          <w:p>
            <w:pPr>
              <w:pStyle w:val="null3"/>
            </w:pPr>
            <w:r>
              <w:rPr>
                <w:rFonts w:ascii="仿宋_GB2312" w:hAnsi="仿宋_GB2312" w:cs="仿宋_GB2312" w:eastAsia="仿宋_GB2312"/>
              </w:rPr>
              <w:t>1</w:t>
            </w:r>
            <w:r>
              <w:rPr>
                <w:rFonts w:ascii="仿宋_GB2312" w:hAnsi="仿宋_GB2312" w:cs="仿宋_GB2312" w:eastAsia="仿宋_GB2312"/>
              </w:rPr>
              <w:t>、供餐人数：约</w:t>
            </w:r>
            <w:r>
              <w:rPr>
                <w:rFonts w:ascii="仿宋_GB2312" w:hAnsi="仿宋_GB2312" w:cs="仿宋_GB2312" w:eastAsia="仿宋_GB2312"/>
              </w:rPr>
              <w:t>100</w:t>
            </w:r>
            <w:r>
              <w:rPr>
                <w:rFonts w:ascii="仿宋_GB2312" w:hAnsi="仿宋_GB2312" w:cs="仿宋_GB2312" w:eastAsia="仿宋_GB2312"/>
              </w:rPr>
              <w:t>人。</w:t>
            </w:r>
          </w:p>
          <w:p>
            <w:pPr>
              <w:pStyle w:val="null3"/>
            </w:pPr>
            <w:r>
              <w:rPr>
                <w:rFonts w:ascii="仿宋_GB2312" w:hAnsi="仿宋_GB2312" w:cs="仿宋_GB2312" w:eastAsia="仿宋_GB2312"/>
              </w:rPr>
              <w:t>2</w:t>
            </w:r>
            <w:r>
              <w:rPr>
                <w:rFonts w:ascii="仿宋_GB2312" w:hAnsi="仿宋_GB2312" w:cs="仿宋_GB2312" w:eastAsia="仿宋_GB2312"/>
              </w:rPr>
              <w:t>、供餐品种要求：按餐厅管理部门要求供餐（一日三餐），基本模式如下：</w:t>
            </w:r>
          </w:p>
          <w:p>
            <w:pPr>
              <w:pStyle w:val="null3"/>
            </w:pPr>
            <w:r>
              <w:rPr>
                <w:rFonts w:ascii="仿宋_GB2312" w:hAnsi="仿宋_GB2312" w:cs="仿宋_GB2312" w:eastAsia="仿宋_GB2312"/>
              </w:rPr>
              <w:t>①早餐：汤品</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小菜</w:t>
            </w:r>
            <w:r>
              <w:rPr>
                <w:rFonts w:ascii="仿宋_GB2312" w:hAnsi="仿宋_GB2312" w:cs="仿宋_GB2312" w:eastAsia="仿宋_GB2312"/>
              </w:rPr>
              <w:t>2</w:t>
            </w:r>
            <w:r>
              <w:rPr>
                <w:rFonts w:ascii="仿宋_GB2312" w:hAnsi="仿宋_GB2312" w:cs="仿宋_GB2312" w:eastAsia="仿宋_GB2312"/>
              </w:rPr>
              <w:t>种</w:t>
            </w:r>
          </w:p>
          <w:p>
            <w:pPr>
              <w:pStyle w:val="null3"/>
            </w:pPr>
            <w:r>
              <w:rPr>
                <w:rFonts w:ascii="仿宋_GB2312" w:hAnsi="仿宋_GB2312" w:cs="仿宋_GB2312" w:eastAsia="仿宋_GB2312"/>
              </w:rPr>
              <w:t>蛋品或奶制品</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主食</w:t>
            </w:r>
            <w:r>
              <w:rPr>
                <w:rFonts w:ascii="仿宋_GB2312" w:hAnsi="仿宋_GB2312" w:cs="仿宋_GB2312" w:eastAsia="仿宋_GB2312"/>
              </w:rPr>
              <w:t>1</w:t>
            </w:r>
            <w:r>
              <w:rPr>
                <w:rFonts w:ascii="仿宋_GB2312" w:hAnsi="仿宋_GB2312" w:cs="仿宋_GB2312" w:eastAsia="仿宋_GB2312"/>
              </w:rPr>
              <w:t>种（馒头或花卷）</w:t>
            </w:r>
          </w:p>
          <w:p>
            <w:pPr>
              <w:pStyle w:val="null3"/>
            </w:pPr>
            <w:r>
              <w:rPr>
                <w:rFonts w:ascii="仿宋_GB2312" w:hAnsi="仿宋_GB2312" w:cs="仿宋_GB2312" w:eastAsia="仿宋_GB2312"/>
              </w:rPr>
              <w:t>小吃</w:t>
            </w:r>
            <w:r>
              <w:rPr>
                <w:rFonts w:ascii="仿宋_GB2312" w:hAnsi="仿宋_GB2312" w:cs="仿宋_GB2312" w:eastAsia="仿宋_GB2312"/>
              </w:rPr>
              <w:t>1</w:t>
            </w:r>
            <w:r>
              <w:rPr>
                <w:rFonts w:ascii="仿宋_GB2312" w:hAnsi="仿宋_GB2312" w:cs="仿宋_GB2312" w:eastAsia="仿宋_GB2312"/>
              </w:rPr>
              <w:t>中（西点或地方小吃）</w:t>
            </w:r>
          </w:p>
          <w:p>
            <w:pPr>
              <w:pStyle w:val="null3"/>
            </w:pPr>
            <w:r>
              <w:rPr>
                <w:rFonts w:ascii="仿宋_GB2312" w:hAnsi="仿宋_GB2312" w:cs="仿宋_GB2312" w:eastAsia="仿宋_GB2312"/>
              </w:rPr>
              <w:t>②中餐：</w:t>
            </w:r>
            <w:r>
              <w:rPr>
                <w:rFonts w:ascii="仿宋_GB2312" w:hAnsi="仿宋_GB2312" w:cs="仿宋_GB2312" w:eastAsia="仿宋_GB2312"/>
              </w:rPr>
              <w:t>3</w:t>
            </w:r>
            <w:r>
              <w:rPr>
                <w:rFonts w:ascii="仿宋_GB2312" w:hAnsi="仿宋_GB2312" w:cs="仿宋_GB2312" w:eastAsia="仿宋_GB2312"/>
              </w:rPr>
              <w:t>种菜品（</w:t>
            </w:r>
            <w:r>
              <w:rPr>
                <w:rFonts w:ascii="仿宋_GB2312" w:hAnsi="仿宋_GB2312" w:cs="仿宋_GB2312" w:eastAsia="仿宋_GB2312"/>
              </w:rPr>
              <w:t>1</w:t>
            </w:r>
            <w:r>
              <w:rPr>
                <w:rFonts w:ascii="仿宋_GB2312" w:hAnsi="仿宋_GB2312" w:cs="仿宋_GB2312" w:eastAsia="仿宋_GB2312"/>
              </w:rPr>
              <w:t>个主荤</w:t>
            </w:r>
            <w:r>
              <w:rPr>
                <w:rFonts w:ascii="仿宋_GB2312" w:hAnsi="仿宋_GB2312" w:cs="仿宋_GB2312" w:eastAsia="仿宋_GB2312"/>
              </w:rPr>
              <w:t>1</w:t>
            </w:r>
            <w:r>
              <w:rPr>
                <w:rFonts w:ascii="仿宋_GB2312" w:hAnsi="仿宋_GB2312" w:cs="仿宋_GB2312" w:eastAsia="仿宋_GB2312"/>
              </w:rPr>
              <w:t>个副荤</w:t>
            </w:r>
            <w:r>
              <w:rPr>
                <w:rFonts w:ascii="仿宋_GB2312" w:hAnsi="仿宋_GB2312" w:cs="仿宋_GB2312" w:eastAsia="仿宋_GB2312"/>
              </w:rPr>
              <w:t>1</w:t>
            </w:r>
            <w:r>
              <w:rPr>
                <w:rFonts w:ascii="仿宋_GB2312" w:hAnsi="仿宋_GB2312" w:cs="仿宋_GB2312" w:eastAsia="仿宋_GB2312"/>
              </w:rPr>
              <w:t>个素菜）面食（地方小吃或面条）</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主食（米饭＋馒头或花卷）</w:t>
            </w:r>
          </w:p>
          <w:p>
            <w:pPr>
              <w:pStyle w:val="null3"/>
            </w:pPr>
            <w:r>
              <w:rPr>
                <w:rFonts w:ascii="仿宋_GB2312" w:hAnsi="仿宋_GB2312" w:cs="仿宋_GB2312" w:eastAsia="仿宋_GB2312"/>
              </w:rPr>
              <w:t>水果或酸奶</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汤品</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③晚餐：</w:t>
            </w:r>
            <w:r>
              <w:rPr>
                <w:rFonts w:ascii="仿宋_GB2312" w:hAnsi="仿宋_GB2312" w:cs="仿宋_GB2312" w:eastAsia="仿宋_GB2312"/>
              </w:rPr>
              <w:t>2</w:t>
            </w:r>
            <w:r>
              <w:rPr>
                <w:rFonts w:ascii="仿宋_GB2312" w:hAnsi="仿宋_GB2312" w:cs="仿宋_GB2312" w:eastAsia="仿宋_GB2312"/>
              </w:rPr>
              <w:t>种菜品（</w:t>
            </w:r>
            <w:r>
              <w:rPr>
                <w:rFonts w:ascii="仿宋_GB2312" w:hAnsi="仿宋_GB2312" w:cs="仿宋_GB2312" w:eastAsia="仿宋_GB2312"/>
              </w:rPr>
              <w:t>1</w:t>
            </w:r>
            <w:r>
              <w:rPr>
                <w:rFonts w:ascii="仿宋_GB2312" w:hAnsi="仿宋_GB2312" w:cs="仿宋_GB2312" w:eastAsia="仿宋_GB2312"/>
              </w:rPr>
              <w:t>个副荤</w:t>
            </w:r>
            <w:r>
              <w:rPr>
                <w:rFonts w:ascii="仿宋_GB2312" w:hAnsi="仿宋_GB2312" w:cs="仿宋_GB2312" w:eastAsia="仿宋_GB2312"/>
              </w:rPr>
              <w:t>1</w:t>
            </w:r>
            <w:r>
              <w:rPr>
                <w:rFonts w:ascii="仿宋_GB2312" w:hAnsi="仿宋_GB2312" w:cs="仿宋_GB2312" w:eastAsia="仿宋_GB2312"/>
              </w:rPr>
              <w:t>个素菜）</w:t>
            </w:r>
          </w:p>
          <w:p>
            <w:pPr>
              <w:pStyle w:val="null3"/>
            </w:pPr>
            <w:r>
              <w:rPr>
                <w:rFonts w:ascii="仿宋_GB2312" w:hAnsi="仿宋_GB2312" w:cs="仿宋_GB2312" w:eastAsia="仿宋_GB2312"/>
              </w:rPr>
              <w:t>面食（地方小吃或面条）</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主食（米饭＋馒头或花卷＋饼类</w:t>
            </w:r>
            <w:r>
              <w:rPr>
                <w:rFonts w:ascii="仿宋_GB2312" w:hAnsi="仿宋_GB2312" w:cs="仿宋_GB2312" w:eastAsia="仿宋_GB2312"/>
              </w:rPr>
              <w:t>1</w:t>
            </w:r>
            <w:r>
              <w:rPr>
                <w:rFonts w:ascii="仿宋_GB2312" w:hAnsi="仿宋_GB2312" w:cs="仿宋_GB2312" w:eastAsia="仿宋_GB2312"/>
              </w:rPr>
              <w:t>种）</w:t>
            </w:r>
          </w:p>
          <w:p>
            <w:pPr>
              <w:pStyle w:val="null3"/>
            </w:pPr>
            <w:r>
              <w:rPr>
                <w:rFonts w:ascii="仿宋_GB2312" w:hAnsi="仿宋_GB2312" w:cs="仿宋_GB2312" w:eastAsia="仿宋_GB2312"/>
              </w:rPr>
              <w:t>3</w:t>
            </w:r>
            <w:r>
              <w:rPr>
                <w:rFonts w:ascii="仿宋_GB2312" w:hAnsi="仿宋_GB2312" w:cs="仿宋_GB2312" w:eastAsia="仿宋_GB2312"/>
              </w:rPr>
              <w:t>、服务要求：</w:t>
            </w:r>
          </w:p>
          <w:p>
            <w:pPr>
              <w:pStyle w:val="null3"/>
            </w:pPr>
            <w:r>
              <w:rPr>
                <w:rFonts w:ascii="仿宋_GB2312" w:hAnsi="仿宋_GB2312" w:cs="仿宋_GB2312" w:eastAsia="仿宋_GB2312"/>
              </w:rPr>
              <w:t>①供应商应严格遵守《食品卫生法》及城管执法局的各项管理制度</w:t>
            </w:r>
            <w:r>
              <w:rPr>
                <w:rFonts w:ascii="仿宋_GB2312" w:hAnsi="仿宋_GB2312" w:cs="仿宋_GB2312" w:eastAsia="仿宋_GB2312"/>
              </w:rPr>
              <w:t>,</w:t>
            </w:r>
            <w:r>
              <w:rPr>
                <w:rFonts w:ascii="仿宋_GB2312" w:hAnsi="仿宋_GB2312" w:cs="仿宋_GB2312" w:eastAsia="仿宋_GB2312"/>
              </w:rPr>
              <w:t>严格执行操作规程及卫生管理制度，并定期对经营场所进行防鼠、灭蝇、灭蟑工作。垃圾污物应按指定地点放置，餐厅内外保持卫生整洁。</w:t>
            </w:r>
          </w:p>
          <w:p>
            <w:pPr>
              <w:pStyle w:val="null3"/>
            </w:pPr>
            <w:r>
              <w:rPr>
                <w:rFonts w:ascii="仿宋_GB2312" w:hAnsi="仿宋_GB2312" w:cs="仿宋_GB2312" w:eastAsia="仿宋_GB2312"/>
              </w:rPr>
              <w:t>②供应商所有工作人员上岗前必须持有效的餐饮行业健康证，并公示上墙。工作人员必须统一着装。</w:t>
            </w:r>
          </w:p>
          <w:p>
            <w:pPr>
              <w:pStyle w:val="null3"/>
            </w:pPr>
            <w:r>
              <w:rPr>
                <w:rFonts w:ascii="仿宋_GB2312" w:hAnsi="仿宋_GB2312" w:cs="仿宋_GB2312" w:eastAsia="仿宋_GB2312"/>
              </w:rPr>
              <w:t>③严格实行“一洗二过三消毒”的用品消毒规程。</w:t>
            </w:r>
          </w:p>
          <w:p>
            <w:pPr>
              <w:pStyle w:val="null3"/>
            </w:pPr>
            <w:r>
              <w:rPr>
                <w:rFonts w:ascii="仿宋_GB2312" w:hAnsi="仿宋_GB2312" w:cs="仿宋_GB2312" w:eastAsia="仿宋_GB2312"/>
              </w:rPr>
              <w:t>④确保原材料的质量，把好收货质量关</w:t>
            </w:r>
            <w:r>
              <w:rPr>
                <w:rFonts w:ascii="仿宋_GB2312" w:hAnsi="仿宋_GB2312" w:cs="仿宋_GB2312" w:eastAsia="仿宋_GB2312"/>
              </w:rPr>
              <w:t>,</w:t>
            </w:r>
            <w:r>
              <w:rPr>
                <w:rFonts w:ascii="仿宋_GB2312" w:hAnsi="仿宋_GB2312" w:cs="仿宋_GB2312" w:eastAsia="仿宋_GB2312"/>
              </w:rPr>
              <w:t>严禁验收劣质的原料，餐品制作过程，严格按照《食品卫生法》要求，不得使用变质受污染的原材料，进行加工制做，做到食品卫生安全。</w:t>
            </w:r>
          </w:p>
          <w:p>
            <w:pPr>
              <w:pStyle w:val="null3"/>
            </w:pPr>
            <w:r>
              <w:rPr>
                <w:rFonts w:ascii="仿宋_GB2312" w:hAnsi="仿宋_GB2312" w:cs="仿宋_GB2312" w:eastAsia="仿宋_GB2312"/>
              </w:rPr>
              <w:t>人员要求：</w:t>
            </w:r>
          </w:p>
          <w:p>
            <w:pPr>
              <w:pStyle w:val="null3"/>
            </w:pPr>
            <w:r>
              <w:rPr>
                <w:rFonts w:ascii="仿宋_GB2312" w:hAnsi="仿宋_GB2312" w:cs="仿宋_GB2312" w:eastAsia="仿宋_GB2312"/>
              </w:rPr>
              <w:t>①配置人数</w:t>
            </w:r>
          </w:p>
          <w:tbl>
            <w:tblPr>
              <w:tblInd w:type="dxa" w:w="570"/>
              <w:tblBorders>
                <w:top w:val="none" w:color="000000" w:sz="4"/>
                <w:left w:val="none" w:color="000000" w:sz="4"/>
                <w:bottom w:val="none" w:color="000000" w:sz="4"/>
                <w:right w:val="none" w:color="000000" w:sz="4"/>
                <w:insideH w:val="none"/>
                <w:insideV w:val="none"/>
              </w:tblBorders>
            </w:tblPr>
            <w:tblGrid>
              <w:gridCol w:w="360"/>
              <w:gridCol w:w="894"/>
              <w:gridCol w:w="689"/>
              <w:gridCol w:w="493"/>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岗位名称</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需求</w:t>
                  </w:r>
                  <w:r>
                    <w:rPr>
                      <w:rFonts w:ascii="仿宋_GB2312" w:hAnsi="仿宋_GB2312" w:cs="仿宋_GB2312" w:eastAsia="仿宋_GB2312"/>
                      <w:sz w:val="19"/>
                    </w:rPr>
                    <w:t>人数</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厨师长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注：表格内所有人员一致实行包吃不包住管理模式。</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炒锅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93"/>
                  <w:vMerge/>
                  <w:tcBorders>
                    <w:top w:val="none" w:color="000000" w:sz="4"/>
                    <w:left w:val="none" w:color="000000" w:sz="4"/>
                    <w:bottom w:val="none" w:color="000000" w:sz="4"/>
                    <w:right w:val="single" w:color="000000" w:sz="4"/>
                  </w:tcBorders>
                </w:tc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93"/>
                  <w:vMerge/>
                  <w:tcBorders>
                    <w:top w:val="none" w:color="000000" w:sz="4"/>
                    <w:left w:val="none" w:color="000000" w:sz="4"/>
                    <w:bottom w:val="none" w:color="000000" w:sz="4"/>
                    <w:right w:val="single" w:color="000000" w:sz="4"/>
                  </w:tcBorders>
                </w:tc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洗碗工（兼保洁）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93"/>
                  <w:vMerge/>
                  <w:tcBorders>
                    <w:top w:val="none" w:color="000000" w:sz="4"/>
                    <w:left w:val="none" w:color="000000" w:sz="4"/>
                    <w:bottom w:val="none" w:color="000000" w:sz="4"/>
                    <w:right w:val="single" w:color="000000" w:sz="4"/>
                  </w:tcBorders>
                </w:tc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93"/>
                  <w:vMerge/>
                  <w:tcBorders>
                    <w:top w:val="none" w:color="000000" w:sz="4"/>
                    <w:left w:val="none" w:color="000000" w:sz="4"/>
                    <w:bottom w:val="none" w:color="000000" w:sz="4"/>
                    <w:right w:val="single" w:color="000000" w:sz="4"/>
                  </w:tcBorders>
                </w:tcPr>
                <w:p/>
              </w:tc>
            </w:tr>
          </w:tbl>
          <w:p>
            <w:pPr>
              <w:pStyle w:val="null3"/>
            </w:pPr>
            <w:r>
              <w:rPr>
                <w:rFonts w:ascii="仿宋_GB2312" w:hAnsi="仿宋_GB2312" w:cs="仿宋_GB2312" w:eastAsia="仿宋_GB2312"/>
              </w:rPr>
              <w:t>②年龄</w:t>
            </w:r>
            <w:r>
              <w:rPr>
                <w:rFonts w:ascii="仿宋_GB2312" w:hAnsi="仿宋_GB2312" w:cs="仿宋_GB2312" w:eastAsia="仿宋_GB2312"/>
              </w:rPr>
              <w:t>55</w:t>
            </w:r>
            <w:r>
              <w:rPr>
                <w:rFonts w:ascii="仿宋_GB2312" w:hAnsi="仿宋_GB2312" w:cs="仿宋_GB2312" w:eastAsia="仿宋_GB2312"/>
              </w:rPr>
              <w:t>岁以下</w:t>
            </w:r>
            <w:r>
              <w:rPr>
                <w:rFonts w:ascii="仿宋_GB2312" w:hAnsi="仿宋_GB2312" w:cs="仿宋_GB2312" w:eastAsia="仿宋_GB2312"/>
              </w:rPr>
              <w:t>，</w:t>
            </w:r>
            <w:r>
              <w:rPr>
                <w:rFonts w:ascii="仿宋_GB2312" w:hAnsi="仿宋_GB2312" w:cs="仿宋_GB2312" w:eastAsia="仿宋_GB2312"/>
              </w:rPr>
              <w:t>厨师长及炒锅主厨要求高级以上等级，且持证三年，有三年以上工作经验。</w:t>
            </w:r>
          </w:p>
          <w:p>
            <w:pPr>
              <w:pStyle w:val="null3"/>
            </w:pPr>
            <w:r>
              <w:rPr>
                <w:rFonts w:ascii="仿宋_GB2312" w:hAnsi="仿宋_GB2312" w:cs="仿宋_GB2312" w:eastAsia="仿宋_GB2312"/>
              </w:rPr>
              <w:t>③全员必须持有效的餐饮行业健康证。</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服务期：</w:t>
            </w:r>
            <w:r>
              <w:rPr>
                <w:rFonts w:ascii="仿宋_GB2312" w:hAnsi="仿宋_GB2312" w:cs="仿宋_GB2312" w:eastAsia="仿宋_GB2312"/>
                <w:sz w:val="21"/>
              </w:rPr>
              <w:t>12</w:t>
            </w:r>
            <w:r>
              <w:rPr>
                <w:rFonts w:ascii="仿宋_GB2312" w:hAnsi="仿宋_GB2312" w:cs="仿宋_GB2312" w:eastAsia="仿宋_GB2312"/>
                <w:sz w:val="21"/>
              </w:rPr>
              <w:t>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人员配备应齐全、合理，满足采购人及项目服务要求。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设备应齐全、合理，满足采购人及项目服务要求。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（1）合同文本；（2）响应文件及澄清函、采购文件；（3）国家和行业制定的相应的标准和规范。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每满一个月，乙方向甲方上报月度服务费用，经甲方考核合格后支付合同款。考核标准：在餐饮服务工作中，月考核分值≥85分为合格，按月考核结果据实支付服务费；70-95分（含70）扣除当月500元服务费；70分以下扣除当月1000元服务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（二）乙方未按合同要求提供服务或服务质量不能满足本次采购要求，甲方会同监督机构、采购代理机构有权终止合同和对乙方违约行为进行追究，同时按政府采购法的有关规定进行相应的处罚。 （三）甲方未按合同约定按期履行付款义务，乙方将因资金短缺而完全丧失维持项目正常运营的能力，乙方有权书面向甲方发出合同解除通知，给予甲方半个月缓冲期，解除合同,乙方不承担任何违约责任。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类似项目情况表.docx 其他资料.docx 响应函 资格证明文件.docx 拟派项目人员表.docx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其他资料.docx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供应商提供2024年7月至磋商响应文件递交截止之日前任意1个月的缴费凭据或社保机构开具的社会保险参保缴费情况证明；依法不需要缴纳社会保障资金的应提供相关文件证明；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2024年7月至磋商响应文件递交截止之日前任意1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提供2023或2024年度经审计的财务报告或开标前六个月内其基本账户银行出具的资信证明或财政部门认可的政府采购专业担保机构出具的担保函；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参加政府采购活动前三年内在经营活动中没有重大违法记录的书面声明；投标供应商自行出具承诺书即可；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具有履行合同所必需的设备和专业技术能力：由投标供应商自行出具具备履行合同所必需的设备和专业技术能力的承诺书；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限制投标要求</w:t>
            </w:r>
          </w:p>
        </w:tc>
        <w:tc>
          <w:tcPr>
            <w:tcW w:type="dxa" w:w="3322"/>
          </w:tcPr>
          <w:p>
            <w:pPr>
              <w:pStyle w:val="null3"/>
            </w:pPr>
            <w:r>
              <w:rPr>
                <w:rFonts w:ascii="仿宋_GB2312" w:hAnsi="仿宋_GB2312" w:cs="仿宋_GB2312" w:eastAsia="仿宋_GB2312"/>
              </w:rPr>
              <w:t>投标供应商单位负责人为同一人或者存在直接控股、管理关系的不同供应商，不得参加同一项目或同一标段的政府采购活动；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限制投标要求</w:t>
            </w:r>
          </w:p>
        </w:tc>
        <w:tc>
          <w:tcPr>
            <w:tcW w:type="dxa" w:w="3322"/>
          </w:tcPr>
          <w:p>
            <w:pPr>
              <w:pStyle w:val="null3"/>
            </w:pPr>
            <w:r>
              <w:rPr>
                <w:rFonts w:ascii="仿宋_GB2312" w:hAnsi="仿宋_GB2312" w:cs="仿宋_GB2312" w:eastAsia="仿宋_GB2312"/>
              </w:rPr>
              <w:t>除单一来源采购项目外，为采购项目提供整体设计、规范编制或者项目管理、监理、检测等服务的供应商，不得再参加同一项目的其他采购活动。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根据本项目实际需求及特点，制定实施方案，实施方案内容包含①服务工作规范性②餐饮工作服务标准③人员定岗定编及岗位职责④人员教育培训⑤管理制度。 二、评审标准 1、完整性：方案必须全面，对评审内容中的各项要求有详细描述； 2、可实施性：提出步骤清晰、合理、可实施性强的方案； 3、针对性：方案能够紧扣项目实际情况，内容科学合理； 三、赋分标准（满分33分） ①服务工作规范性：每完全满足一个评审标准得2.2分，满分6.6分；该方案缺内容则不得分，每有一处内容存在缺陷或不足的扣1.1分，该项分值扣完为止。 ②餐饮工作服务标准：每完全满足一个评审标准得2.2分，满分6.6分；该方案缺内容则不得分，每有一处内容存在缺陷或不足的扣1.1分，该项分值扣完为止。 ③人员定岗定编及岗位职责：每完全满足一个评审标准得2.2分，满分6.6分；该方案缺内容则不得分，每有一处内容存在缺陷或不足的扣1.1分，该项分值扣完为止。 ④人员教育培训：每完全满足一个评审标准得2.2分，满分6.6分；该方案缺内容则不得分，每有一处内容存在缺陷或不足的扣1.1分，该项分值扣完为止。 ⑤管理制度：每完全满足一个评审标准得2.2分，满分6.6分；该方案缺内容则不得分，每有一处内容存在缺陷或不足的扣1.1分，该项分值扣完为止。 备注：方案内容存在缺陷或不足是指以下任意一种情况：方案内容不符合行业实际或国家法规、政策；或方案内容生搬硬造，与实际情况不符，存在偏差；或方案内容过于简略；或存在与项目无关的文字内容；或内容不适用项目实际情况；或内容逻辑漏洞或原理错误。</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菜谱</w:t>
            </w:r>
          </w:p>
        </w:tc>
        <w:tc>
          <w:tcPr>
            <w:tcW w:type="dxa" w:w="2492"/>
          </w:tcPr>
          <w:p>
            <w:pPr>
              <w:pStyle w:val="null3"/>
            </w:pPr>
            <w:r>
              <w:rPr>
                <w:rFonts w:ascii="仿宋_GB2312" w:hAnsi="仿宋_GB2312" w:cs="仿宋_GB2312" w:eastAsia="仿宋_GB2312"/>
              </w:rPr>
              <w:t>一、评审内容 根据供应商提供的以两周为周期的①早餐食谱方案②中餐食谱方案情况进行评审。 二、评审标准 1、完整性：食谱符合采购人要求，菜品、主食种类齐全，营养合理，数量保证措施必须全面，有详细描述； 2、合理性：食谱符合采购人要求，菜品、主食种类齐全，营养合理，数量保证措施须切合本项目实际情况，具有相应措施； 三、赋分标准（满分12分） ①早餐食谱方案：每完全满足一个评审标准得3分，满分6分；这部分内容缺失则不得分，每有一处内容存在缺陷或不足的扣1分，该项分值扣完为止。 ②中餐食谱方案：每完全满足一个评审标准得3分，满分6分；这部分内容缺失则不得分，每有一处内容存在缺陷或不足的扣1分，该项分值扣完为止。 备注：内容存在缺陷或不足是指以下任意一种情况：措施内容不符合行业实际或国家法规、政策；或措施内容生搬硬造，与实际情况不符，存在偏差；或措施内容过于简略；或存在与项目无关的文字内容；或措施内容不适用项目实际情况；或措施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食品质量安全的保证措施</w:t>
            </w:r>
          </w:p>
        </w:tc>
        <w:tc>
          <w:tcPr>
            <w:tcW w:type="dxa" w:w="2492"/>
          </w:tcPr>
          <w:p>
            <w:pPr>
              <w:pStyle w:val="null3"/>
            </w:pPr>
            <w:r>
              <w:rPr>
                <w:rFonts w:ascii="仿宋_GB2312" w:hAnsi="仿宋_GB2312" w:cs="仿宋_GB2312" w:eastAsia="仿宋_GB2312"/>
              </w:rPr>
              <w:t>一、评审内容 根据本项目食品需求及特点，制定保证措施；保证措施内容包含①食品质量、安全②食材的验收标准③食材储存标准④食品安全执行标准⑤食品检验检查⑥食品日常维护⑦责任范围： 二、评审标准 1、完整性：措施方案必须全面，对评审内容中的各项要求有详细描述； 2、合理性：提出步骤清晰、合理、可实施性强的方案； 二、赋分标准（满分14分） ①食品质量、安全：每完全满足一个评审标准得1分，满分2分；这部分内容缺失则不得分，每有一处内容存在缺陷或不足的扣0.5分，该项分值扣完为止。 ②食材的验收标准：每完全满足一个评审标准得1分，满分2分；这部分内容缺失则不得分，每有一处内容存在缺陷或不足的扣0.5分，该项分值扣完为止。 ③食材储存标准：每完全满足一个评审标准得1分，满分2分；这部分内容缺失则不得分，每有一处内容存在缺陷或不足的扣0.5分，该项分值扣完为止。 ④食品安全执行标准：每完全满足一个评审标准得1分，满分2分；这部分内容缺失则不得分，每有一处内容存在缺陷或不足的扣0.5分，该项分值扣完为止。 ⑤食品检验检查：每完全满足一个评审标准得1分，满分2分；这部分内容缺失则不得分，每有一处内容存在缺陷或不足的扣0.5分，该项分值扣完为止。 ⑥食品日常维护：每完全满足一个评审标准得1分，满分2分；这部分内容缺失则不得分，每有一处内容存在缺陷或不足的扣0.5分，该项分值扣完为止。 ⑦责任范围：每完全满足一个评审标准得1分，满分2分；这部分内容缺失则不得分，每有一处内容存在缺陷或不足的扣0.5分，该项分值扣完为止。 备注：内容存在缺陷或不足是指以下任意一种情况：措施内容不符合行业实际或国家法规、政策；或措施内容生搬硬造，与实际情况不符，存在偏差；或措施内容过于简略；或存在与项目无关的文字内容；或措施内容不适用项目实际情况；或措施水平低下、存在漏洞。</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w:t>
            </w:r>
          </w:p>
        </w:tc>
        <w:tc>
          <w:tcPr>
            <w:tcW w:type="dxa" w:w="2492"/>
          </w:tcPr>
          <w:p>
            <w:pPr>
              <w:pStyle w:val="null3"/>
            </w:pPr>
            <w:r>
              <w:rPr>
                <w:rFonts w:ascii="仿宋_GB2312" w:hAnsi="仿宋_GB2312" w:cs="仿宋_GB2312" w:eastAsia="仿宋_GB2312"/>
              </w:rPr>
              <w:t>一、评审内容 根据本项目实际需求及特点，制定卫生管理实施方案，实施方案内容包含①厨具、餐具卫生②餐厅环境卫生③食品卫生④服务人员个人卫生。 二、评审标准 1、完整性：方案必须全面，对评审内容中的各项要求有详细描述； 2、可实施性：提出步骤清晰、合理、可实施性强的方案； 3、针对性：方案能够紧扣项目实际情况，内容科学合理； 三、赋分标准（满分12分） ①厨具、餐具卫生：每完全满足一个评审标准得1分，满分3分；该方案缺内容则不得分，每有一处内容存在缺陷或不足的扣1分，该项分值扣完为止。 ②餐厅环境卫生：每完全满足一个评审标准得1分，满分3分；该方案缺内容则不得分，每有一处内容存在缺陷或不足的扣1分，该项分值扣完为止。 ③食品卫生：每完全满足一个评审标准得1分，满分3分；该方案缺内容则不得分，每有一处内容存在缺陷或不足的扣1分，该项分值扣完为止。 ④服务人员个人卫生：每完全满足一个评审标准得1分，满分3分；该方案缺内容则不得分，每有一处内容存在缺陷或不足的扣1分，该项分值扣完为止。 备注：方案内容存在缺陷或不足是指以下任意一种情况：方案内容不符合行业实际或国家法规、政策；或方案内容生搬硬造，与实际情况不符，存在偏差；或方案内容过于简略；或存在与项目无关的文字内容；或内容不适用项目实际情况；或内容逻辑漏洞或原理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应急计划与预案</w:t>
            </w:r>
          </w:p>
        </w:tc>
        <w:tc>
          <w:tcPr>
            <w:tcW w:type="dxa" w:w="2492"/>
          </w:tcPr>
          <w:p>
            <w:pPr>
              <w:pStyle w:val="null3"/>
            </w:pPr>
            <w:r>
              <w:rPr>
                <w:rFonts w:ascii="仿宋_GB2312" w:hAnsi="仿宋_GB2312" w:cs="仿宋_GB2312" w:eastAsia="仿宋_GB2312"/>
              </w:rPr>
              <w:t>一、评审内容 根据本项目实际需求及特点，制定应急计划与预案，计划预案内容包含①食堂设备（水、电、天然气、火等）②食物中毒应急预案③消防预案④群体事件预案⑤盗窃预案等紧急事件。 二、评审标准 1、完整性：预案方案必须全面，对评审内容中的各项要求有详细描述； 2、可实施性：提出步骤清晰、合理、可实施性强的方案； 3、针对性：预案方案能够紧扣项目实际情况，内容科学合理； 三、赋分标准（满分15分） ①食堂设备（水、电、天然气、火等）：每完全满足一个评审标准得1分，满分3分；该方案缺内容则不得分，每有一处内容存在缺陷或不足的扣1分，该项分值扣完为止。 ②食物中毒应急预案：每完全满足一个评审标准得1分，满分3分；该方案缺内容则不得分，每有一处内容存在缺陷或不足的扣1分，该项分值扣完为止。 ③消防预案：每完全满足一个评审标准得1分，满分3分；该方案缺内容则不得分，每有一处内容存在缺陷或不足的扣1分，该项分值扣完为止。 ④群体事件预案：每完全满足一个评审标准得1分，满分3分；该方案缺内容则不得分，每有一处内容存在缺陷或不足的扣1分，该项分值扣完为止。 ⑤盗窃预案等紧急事件：每完全满足一个评审标准得1分，满分3分；该方案缺内容则不得分，每有一处内容存在缺陷或不足的扣1分，该项分值扣完为止。 备注：方案内容存在缺陷或不足是指以下任意一种情况：方案内容不符合行业实际或国家法规、政策；或方案内容生搬硬造，与实际情况不符，存在偏差；或方案内容过于简略；或存在与项目无关的文字内容；或内容不适用项目实际情况；或内容逻辑漏洞或原理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供应商具有2022年至今（以合同签订时间为准）的类似业绩，提供一个得1分，最高得4分。 注：本项目类似业绩指：具有相关餐厅服务经验。 磋商响应文件中提供合同复印件并加盖供应商公章，未按要求提供不予计分。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最终磋商报价）×价格分值。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详见附件：拟派项目人员表.docx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