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版本号：FHGJ25(CGP）301-080820250811001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曲江新区QJ8-2-17、QJ8-2-18号宗地文物发掘劳务服务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FHGJ25(CGP）301-0808</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曲江新区QJ8-2-17、QJ8-2-18号宗地文物发掘劳务服务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FHGJ25(CGP）301-0808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曲江新区QJ8-2-17、QJ8-2-18号宗地文物发掘劳务服务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QJ8-2-17号宗地位于曲江新区南三环以南，公田三路以西，春临三路以北。QJ8-2-18号宗地位于曲江新区南三环以南，公田三路以东，春临三路以北。两宗地目前已经完成清表、文勘工作。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采购包1（曲江新区QJ8-2-17、QJ8-2-18号宗地文物发掘劳务服务）：属于专门面向中小企业采购。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2023年度或2024年度经审计的财务报告（如成立时间至提交投标文件截止时间不足一年的可提供成立后任意时段的资产负债表）或其提交投标文件截止之日前三个月内基本开户银行出具的资信证明。</w:t>
      </w:r>
    </w:p>
    <w:p>
      <w:pPr>
        <w:pStyle w:val="null3"/>
      </w:pPr>
      <w:r>
        <w:rPr>
          <w:rFonts w:ascii="仿宋_GB2312" w:hAnsi="仿宋_GB2312" w:cs="仿宋_GB2312" w:eastAsia="仿宋_GB2312"/>
        </w:rPr>
        <w:t>3、社会保障资金缴纳证明：投标人须提供2024年度至今任意一个月的社会保障资金缴存单据或社保机构开具的社会保险参保缴费情况证明，依法不需要缴纳社会保障资金的单位应提供相关证明材料。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4、税收缴纳证明：投标人须提供2024年度至今任意一个月的纳税证明或完税证明，依法免税的单位应提供相关证明材料。</w:t>
      </w:r>
    </w:p>
    <w:p>
      <w:pPr>
        <w:pStyle w:val="null3"/>
      </w:pPr>
      <w:r>
        <w:rPr>
          <w:rFonts w:ascii="仿宋_GB2312" w:hAnsi="仿宋_GB2312" w:cs="仿宋_GB2312" w:eastAsia="仿宋_GB2312"/>
        </w:rPr>
        <w:t>5、信用记录：供应商未被列入“信用中国”网站记录的“失信被执行人”或“重大税收违法案件当事人”名单；不处于“中国政府采购网”记录的“政府采购严重违法失信行为记录名单”中的禁止参加政府采购活动期间；（提供查询结果网页截图并加盖投标人公章） 。</w:t>
      </w:r>
    </w:p>
    <w:p>
      <w:pPr>
        <w:pStyle w:val="null3"/>
      </w:pPr>
      <w:r>
        <w:rPr>
          <w:rFonts w:ascii="仿宋_GB2312" w:hAnsi="仿宋_GB2312" w:cs="仿宋_GB2312" w:eastAsia="仿宋_GB2312"/>
        </w:rPr>
        <w:t>6、控股管理关系：单位负责人为同一人或者存在控股、管理关系的不同单位，不得参加同一标段投标或者未划分标段的同一招标项目投标活动提供证明资料或承诺书。</w:t>
      </w:r>
    </w:p>
    <w:p>
      <w:pPr>
        <w:pStyle w:val="null3"/>
      </w:pPr>
      <w:r>
        <w:rPr>
          <w:rFonts w:ascii="仿宋_GB2312" w:hAnsi="仿宋_GB2312" w:cs="仿宋_GB2312" w:eastAsia="仿宋_GB2312"/>
        </w:rPr>
        <w:t>7、书面声明：提供参加政府采购活动前三年内，在经营活动中没有重大违法记录的书面声明。</w:t>
      </w:r>
    </w:p>
    <w:p>
      <w:pPr>
        <w:pStyle w:val="null3"/>
      </w:pPr>
      <w:r>
        <w:rPr>
          <w:rFonts w:ascii="仿宋_GB2312" w:hAnsi="仿宋_GB2312" w:cs="仿宋_GB2312" w:eastAsia="仿宋_GB2312"/>
        </w:rPr>
        <w:t>8、授权书及授权代表本单位证明：投标人应授权合法的人员参加投标全过程，法定代表人（或负责人）委托代理人参加投标时，应提供法定代表人委托授权书及被授权人的身份证；法定代表人（或负责人）亲自参加投标时，应提供法定代表人（或负责人）身份证，并与营业执照上信息一致。</w:t>
      </w:r>
    </w:p>
    <w:p>
      <w:pPr>
        <w:pStyle w:val="null3"/>
      </w:pPr>
      <w:r>
        <w:rPr>
          <w:rFonts w:ascii="仿宋_GB2312" w:hAnsi="仿宋_GB2312" w:cs="仿宋_GB2312" w:eastAsia="仿宋_GB2312"/>
        </w:rPr>
        <w:t>9、设备和专业技术能力：投标人应具有履行合同所必需的设备和专业技术能力的证明材料或承诺书。</w:t>
      </w:r>
    </w:p>
    <w:p>
      <w:pPr>
        <w:pStyle w:val="null3"/>
      </w:pPr>
      <w:r>
        <w:rPr>
          <w:rFonts w:ascii="仿宋_GB2312" w:hAnsi="仿宋_GB2312" w:cs="仿宋_GB2312" w:eastAsia="仿宋_GB2312"/>
        </w:rPr>
        <w:t>10、本项目专门面向中小企业：提供中小企业声明函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西安曲江政务中心B-817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81201197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15291729163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代理服务费收费标准：代理服务费收费标准：参照国家计委颁发的《招标代理服务收费管理暂行办法》（计价格 [2002]1980号）和《关于招标代理服务收费有关问题的通知》（发改办价格[2003]857号）的有关规定收取，在收费标准的基础上下浮8%。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符合《田野考古工作规程》相关规定，宗地达到土地出让前完成文物发掘工作的要求。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联系电话：15291729163</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QJ8-2-17号宗地位于曲江新区南三环以南，公田三路以西，春临三路以北。QJ8-2-18号宗地位于曲江新区南三环以南，公田三路以东，春临三路以北。两宗地目前已经完成清表、文勘工作。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4,350,000.00</w:t>
      </w:r>
    </w:p>
    <w:p>
      <w:pPr>
        <w:pStyle w:val="null3"/>
      </w:pPr>
      <w:r>
        <w:rPr>
          <w:rFonts w:ascii="仿宋_GB2312" w:hAnsi="仿宋_GB2312" w:cs="仿宋_GB2312" w:eastAsia="仿宋_GB2312"/>
        </w:rPr>
        <w:t>采购包最高限价（元）: 4,350,000.00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文物发掘劳务配合、安保、土方清理和现场秩序保障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标的名称：文物发掘劳务配合、安保、土方清理和现场秩序保障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r>
              <w:br/>
            </w:r>
            <w:r>
              <w:rPr>
                <w:rFonts w:ascii="仿宋_GB2312" w:hAnsi="仿宋_GB2312" w:cs="仿宋_GB2312" w:eastAsia="仿宋_GB2312"/>
              </w:rPr>
              <w:t xml:space="preserve"> 1、按照国家文物局颁布的《田野考古操作规程》及相关法律法规配合文物发掘技术服务单位开展文物发掘工作。</w:t>
            </w:r>
          </w:p>
          <w:p>
            <w:pPr>
              <w:pStyle w:val="null3"/>
            </w:pPr>
            <w:r>
              <w:rPr>
                <w:rFonts w:ascii="仿宋_GB2312" w:hAnsi="仿宋_GB2312" w:cs="仿宋_GB2312" w:eastAsia="仿宋_GB2312"/>
              </w:rPr>
              <w:t>2、承担考古发掘所需的民工劳务外包，根据现场考古发掘的需要配备足够的劳务人员，并派出专人进行管理。</w:t>
            </w:r>
          </w:p>
          <w:p>
            <w:pPr>
              <w:pStyle w:val="null3"/>
            </w:pPr>
            <w:r>
              <w:rPr>
                <w:rFonts w:ascii="仿宋_GB2312" w:hAnsi="仿宋_GB2312" w:cs="仿宋_GB2312" w:eastAsia="仿宋_GB2312"/>
              </w:rPr>
              <w:t>3、承担发掘工地的安全保卫工作。与招标人及发掘技术单位协商在工地现场选取合适位置搭建安全保卫值班室，在考古发掘区域四周设置围挡形成封闭的工作区域，并在工地四周及出入口设置安全警示标志，安装监控预警等设备。安排足够的专职安全保卫人员，昼夜 24 小时在工地值班巡逻，并在每一个考古发掘现场上方架设摄像监控，做到全程无死角监控发掘过程。因投标人未尽相关职责或履行职责不到位，给招标人及国家造成损失的，投标人应承担相应法律责任，包括民事、行政刑事责任。投标人所有考古工地的安全记录（包括值班记录、人员车辆出入登记、所有录像监控记录数据等），在项目结束发掘后，必须全部提交招标人和发掘技术单位存档。</w:t>
            </w:r>
          </w:p>
          <w:p>
            <w:pPr>
              <w:pStyle w:val="null3"/>
            </w:pPr>
            <w:r>
              <w:rPr>
                <w:rFonts w:ascii="仿宋_GB2312" w:hAnsi="仿宋_GB2312" w:cs="仿宋_GB2312" w:eastAsia="仿宋_GB2312"/>
              </w:rPr>
              <w:t>4、承担对发掘中可能存在安全隐患的部位进行支护加固，确保施工过程中的文物、人员和设备安全。在考古发掘开工前应对民工、支护人员等所有参与本项目的人员进行文物安全警示教育。安排专职的安全员负责现场所有工作人员的人身安全以及设备、设施的财产安全。听从发掘单位现场负责人员的指挥，如因不听指挥或自身不慎等原因造成的安全事故由投标人负责并承担相关法律责任。</w:t>
            </w:r>
          </w:p>
          <w:p>
            <w:pPr>
              <w:pStyle w:val="null3"/>
            </w:pPr>
            <w:r>
              <w:rPr>
                <w:rFonts w:ascii="仿宋_GB2312" w:hAnsi="仿宋_GB2312" w:cs="仿宋_GB2312" w:eastAsia="仿宋_GB2312"/>
              </w:rPr>
              <w:t>5、承担考古发掘过程中所需的土方开挖、清理和运输。负责在考古发掘结束后进行土方回填。</w:t>
            </w:r>
          </w:p>
          <w:p>
            <w:pPr>
              <w:pStyle w:val="null3"/>
            </w:pPr>
            <w:r>
              <w:rPr>
                <w:rFonts w:ascii="仿宋_GB2312" w:hAnsi="仿宋_GB2312" w:cs="仿宋_GB2312" w:eastAsia="仿宋_GB2312"/>
              </w:rPr>
              <w:t>6、负责现场荒草植被清除及治污减霾（裸露黄土绿网覆盖）等工作。</w:t>
            </w:r>
          </w:p>
          <w:p>
            <w:pPr>
              <w:pStyle w:val="null3"/>
            </w:pPr>
            <w:r>
              <w:rPr>
                <w:rFonts w:ascii="仿宋_GB2312" w:hAnsi="仿宋_GB2312" w:cs="仿宋_GB2312" w:eastAsia="仿宋_GB2312"/>
              </w:rPr>
              <w:t>7、配合考古发掘技术单位整理出具考古发掘工作报告所需的相关资料。</w:t>
            </w:r>
          </w:p>
          <w:p>
            <w:pPr>
              <w:pStyle w:val="null3"/>
            </w:pPr>
            <w:r>
              <w:rPr>
                <w:rFonts w:ascii="仿宋_GB2312" w:hAnsi="仿宋_GB2312" w:cs="仿宋_GB2312" w:eastAsia="仿宋_GB2312"/>
              </w:rPr>
              <w:t>二、工作量清单</w:t>
            </w:r>
          </w:p>
          <w:tbl>
            <w:tblPr>
              <w:tblBorders>
                <w:top w:val="single"/>
                <w:left w:val="single"/>
                <w:bottom w:val="single"/>
                <w:right w:val="single"/>
                <w:insideH w:val="single"/>
                <w:insideV w:val="single"/>
              </w:tblBorders>
            </w:tblPr>
            <w:tblGrid>
              <w:gridCol w:w="341"/>
              <w:gridCol w:w="341"/>
              <w:gridCol w:w="341"/>
              <w:gridCol w:w="304"/>
              <w:gridCol w:w="341"/>
              <w:gridCol w:w="250"/>
              <w:gridCol w:w="289"/>
              <w:gridCol w:w="341"/>
            </w:tblGrid>
            <w:tr>
              <w:tc>
                <w:tcPr>
                  <w:tcW w:type="dxa" w:w="2548"/>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曲江新区QJ8-2-17号宗地考古发掘劳务服务工作量清单</w:t>
                  </w:r>
                </w:p>
              </w:tc>
            </w:tr>
            <w:tr/>
            <w:tr>
              <w:tc>
                <w:tcPr>
                  <w:tcW w:type="dxa" w:w="34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编号</w:t>
                  </w:r>
                </w:p>
              </w:tc>
              <w:tc>
                <w:tcPr>
                  <w:tcW w:type="dxa" w:w="986"/>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斜坡墓道(发掘面积×深度系数×发掘劳务配合单价)/2</w:t>
                  </w:r>
                </w:p>
              </w:tc>
              <w:tc>
                <w:tcPr>
                  <w:tcW w:type="dxa" w:w="880"/>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墓室(发掘面积×深度系数×发掘劳务配合单价)</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w:t>
                  </w:r>
                </w:p>
              </w:tc>
            </w:tr>
            <w:tr>
              <w:tc>
                <w:tcPr>
                  <w:tcW w:type="dxa" w:w="341"/>
                  <w:vMerge/>
                  <w:tcBorders>
                    <w:top w:val="single" w:color="000000" w:sz="4"/>
                    <w:left w:val="single" w:color="000000" w:sz="4"/>
                    <w:bottom w:val="single" w:color="000000" w:sz="4"/>
                    <w:right w:val="single" w:color="000000" w:sz="4"/>
                  </w:tcBorders>
                </w:tcPr>
                <w:p/>
              </w:tc>
              <w:tc>
                <w:tcPr>
                  <w:tcW w:type="dxa" w:w="341"/>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深度</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形制</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竖穴墓道砖洞墓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斜坡墓道砖洞墓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M110</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长方形竖穴土坑墓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长条形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长条形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圆形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圆形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J3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圆形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H3</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H4</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H5</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不规则形状</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H6</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椭圆形</w:t>
                  </w:r>
                </w:p>
              </w:tc>
            </w:tr>
            <w:tr>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H7</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椭圆形</w:t>
                  </w: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345"/>
              <w:gridCol w:w="345"/>
              <w:gridCol w:w="345"/>
              <w:gridCol w:w="274"/>
              <w:gridCol w:w="345"/>
              <w:gridCol w:w="274"/>
              <w:gridCol w:w="274"/>
              <w:gridCol w:w="345"/>
            </w:tblGrid>
            <w:tr>
              <w:tc>
                <w:tcPr>
                  <w:tcW w:type="dxa" w:w="2547"/>
                  <w:gridSpan w:val="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曲江新区QJ8-2-18号宗地考古发掘劳务服务工作量清单</w:t>
                  </w:r>
                </w:p>
              </w:tc>
            </w:tr>
            <w:tr/>
            <w:tr>
              <w:tc>
                <w:tcPr>
                  <w:tcW w:type="dxa" w:w="34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编号</w:t>
                  </w:r>
                </w:p>
              </w:tc>
              <w:tc>
                <w:tcPr>
                  <w:tcW w:type="dxa" w:w="96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墓道</w:t>
                  </w:r>
                  <w:r>
                    <w:rPr>
                      <w:rFonts w:ascii="仿宋_GB2312" w:hAnsi="仿宋_GB2312" w:cs="仿宋_GB2312" w:eastAsia="仿宋_GB2312"/>
                      <w:sz w:val="19"/>
                      <w:color w:val="000000"/>
                    </w:rPr>
                    <w:t>(发掘面积×深度系数×发掘劳务配合单价)/2</w:t>
                  </w:r>
                </w:p>
              </w:tc>
              <w:tc>
                <w:tcPr>
                  <w:tcW w:type="dxa" w:w="893"/>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墓室</w:t>
                  </w:r>
                  <w:r>
                    <w:rPr>
                      <w:rFonts w:ascii="仿宋_GB2312" w:hAnsi="仿宋_GB2312" w:cs="仿宋_GB2312" w:eastAsia="仿宋_GB2312"/>
                      <w:sz w:val="19"/>
                      <w:color w:val="000000"/>
                    </w:rPr>
                    <w:t>(发掘面积×深度系数×发掘劳务配合单价)</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w:t>
                  </w:r>
                </w:p>
              </w:tc>
            </w:tr>
            <w:tr>
              <w:tc>
                <w:tcPr>
                  <w:tcW w:type="dxa" w:w="345"/>
                  <w:vMerge/>
                  <w:tcBorders>
                    <w:top w:val="single" w:color="000000" w:sz="4"/>
                    <w:left w:val="single" w:color="000000" w:sz="4"/>
                    <w:bottom w:val="single" w:color="000000" w:sz="4"/>
                    <w:right w:val="single" w:color="000000" w:sz="4"/>
                  </w:tcBorders>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深度</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宽</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深</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形制</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竖穴土坑墓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竖穴土坑墓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竖穴土坑墓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M19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竖穴墓道洞式墓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竖穴土坑墓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M49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斜坡墓道洞室墓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M57</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竖穴墓道洞室墓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M59</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M60</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竖穴墓道砖室墓</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G1</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2.25</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0.8</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长条形</w:t>
                  </w:r>
                </w:p>
              </w:tc>
            </w:tr>
            <w:tr>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G2</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4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T字形</w:t>
                  </w:r>
                </w:p>
              </w:tc>
            </w:tr>
          </w:tbl>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本项目最终结算按照实际发掘工作量据实结算（以发掘技术单位提供的发掘工作量清单加开口以上部分深度计算）;为控制合理发掘，按照单价结算额超出合同总价的按照签订的合同总价结算。</w:t>
            </w:r>
          </w:p>
          <w:p>
            <w:pPr>
              <w:pStyle w:val="null3"/>
            </w:pPr>
            <w:r>
              <w:rPr>
                <w:rFonts w:ascii="仿宋_GB2312" w:hAnsi="仿宋_GB2312" w:cs="仿宋_GB2312" w:eastAsia="仿宋_GB2312"/>
              </w:rPr>
              <w:t xml:space="preserve"> </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针对本项目的详细人员配备情况，拟派项目成员具有完成考古发掘劳务服务经验，人员搭配合理、职能健全，岗位分工明确、职责清晰，包括人员配备情况及水平、人员安排、从业经历、参与工作经验等方面，均应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跟随发掘技术单位工作期限提供全程劳务配合服务。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陕西省西安市曲江新区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符合《田野考古工作规程》相关规定，宗地达到土地出让前完成文物发掘工作的要求。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合同签订完成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发掘工作完成，招标人取得发掘技术单位出具的正式发掘工作报告，中标人提交结算申请资料和发票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甲方违约责任 1. 未按合同约定支付费用，经乙方催告后30日内仍未支付的，每逾期一日，按未付经费的万分之一向乙方支付违约金。 2. 甲方对提供资料的准确性、完整性负责，并承担因此产生的后果。 3.非因乙方原因擅自终止合同，按照实际工程量确定结算工作费用。 乙方违约责任 1. 乙方逾期未完成劳务配合工作，每逾期一日应按已支付工作经费的千分之一向甲方支付违约金，同时乙方应继续履行。逾期超过30日未完成劳务配合工作的，甲方有权单方面解除合同。乙方还应返还甲方已经支付的工作费用，并承担合同总价款20%的违约金。 2.乙方未按合同约定标准开展工作的，甲方有权要求限期整改，并视情进行处罚。 3.乙方违约擅自终止合同，应向甲方支付相当于合同总价款20%的违约金，并退还甲方已经支付的工作费用。 4. 因乙方不遵守相关规定受到行政部门处罚的，乙方自行承担由此产生的费用。同时，每出现一次上述事项，乙方向甲方支付合同总价款5%的违约金，累计达到三次甲方有权单方面终止合同。 5.上述违约金甲方有权从未支付费用中直接扣除。 因本协议履行发生争议，双方应协商解决；协商未果，双方有权向项目所在地人民法院诉讼解决。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二）为顺利推进政府采购电子化交易平台应用工作，供应商需要在线提交所有通过电子化交易平台实施的政府采购项目的投标文件，同时，中标供应商领取中标通知书时，应线下提交纸质版投标文件，正本壹份、副本贰套至代理机构。 线上电子投标文件与纸质投标文件一致;若正本和副本不符，以正本为准。（三）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提供2023年度或2024年度经审计的财务报告（如成立时间至提交投标文件截止时间不足一年的可提供成立后任意时段的资产负债表）或其提交投标文件截止之日前三个月内基本开户银行出具的资信证明。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投标人须提供2024年度至今任意一个月的社会保障资金缴存单据或社保机构开具的社会保险参保缴费情况证明，依法不需要缴纳社会保障资金的单位应提供相关证明材料。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投标人须提供2024年度至今任意一个月的纳税证明或完税证明，依法免税的单位应提供相关证明材料。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提供查询结果网页截图并加盖投标人公章） 。</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单位负责人为同一人或者存在控股、管理关系的不同单位，不得参加同一标段投标或者未划分标段的同一招标项目投标活动提供证明资料或承诺书。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法定代表人（或负责人）委托代理人参加投标时，应提供法定代表人委托授权书及被授权人的身份证；法定代表人（或负责人）亲自参加投标时，应提供法定代表人（或负责人）身份证，并与营业执照上信息一致。</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投标人应具有履行合同所必需的设备和专业技术能力的证明材料或承诺书。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投标文件签署、盖章均符合招标文件要求，且无遗漏。</w:t>
            </w:r>
          </w:p>
        </w:tc>
        <w:tc>
          <w:tcPr>
            <w:tcW w:type="dxa" w:w="1661"/>
          </w:tcPr>
          <w:p>
            <w:pPr>
              <w:pStyle w:val="null3"/>
            </w:pPr>
            <w:r>
              <w:rPr>
                <w:rFonts w:ascii="仿宋_GB2312" w:hAnsi="仿宋_GB2312" w:cs="仿宋_GB2312" w:eastAsia="仿宋_GB2312"/>
              </w:rPr>
              <w:t>拟投入本项目的人员配置情况表.docx 开标一览表 服务内容及服务邀请应答表 中小企业声明函 商务应答表 类似项目业绩证明材料.docx 分项报价表.docx 投标人应提交的相关资格证明材料.docx 拟投入本项目的设备仪器表.docx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投标人投标报价没有超出采购预算或最高限价，投标总价应当按照招标文件要求报价。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1、组织实施方案全面、合理、思路清晰明确。根据响应情况计0～5分。 2、发掘工地安全保卫实施方案。根据响应情况计0～5分。 3、安全隐患部位的支护加固施工方法。根据响应情况计0～5分。 4、土方开挖、清理和运输实施方法。根据响应情况计0～5分。 5、现场荒草植被清除及治污减霾管理方法。根据响应情况计0～5分。 6、与考古发掘技术单位配合协调方案。根据响应情况计0～5分。 7、提供针对本项目可能出现的安全情况进行应急预案及并提供具体措施。根据响应情况计0～5分。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1、供应商具有比较完善的组织架构，清晰的管理流程。根据响应情况计0～5分。 2、提供现场管理制度、岗位职责、人员管理制度。根据响应情况计0～5分。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提出针对本项目的具体服务承诺，包含接到项目后响应时间、完成时间、后续服务及过程服务等内容等，并对其有详细说明。根据响应情况计0～5分。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提供保障本项目顺利进行的设施、设备及工具，根据配置合理性、贴合性、先进性、以及数量、品质、新旧程度的响应情况计0～5分。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拟投入本项目的设备仪器表.docx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1、确保施工质量的组织措施。根据响应情况计0～5分。 2、确保安全作业保护措施。根据响应情况计0～5分。 3、施工进度保证措施，根据响应情况计0～5分。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1、项目管理机构配备情况，根据人数、技术职称、专业配置情况计0～5分。 2、根据拟派项目组成员专业技能能力和从业经验等进行评审。根据响应情况计0～5分。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拟投入本项目的人员配置情况表.docx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投标人提供2022年1月1日至今（以合同签订时间为准）同类项目业绩，业绩以合同为依据，投标文件中附有其证明资料，每提供一个得2分，满分10分。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详见附件：拟投入本项目的设备仪器表.docx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详见附件：类似项目业绩证明材料.docx</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