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版本号：ZCZX2025-CS-15320250811001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暑期文商旅融合促销费主题活动服务项目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ZCZX2025-CS-153</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暑期文商旅融合促销费主题活动服务项目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暑期文商旅融合促销费主题活动服务项目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提供暑期文商旅融合促销费主题活动服务，包含场景搭建与氛围营造、专业设备租赁服务、演艺与互动内容、视觉设计输出、现场管理等。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029-68660257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采购包1：720,478.00元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提供暑期文商旅融合促销费主题活动服务，包含场景搭建与氛围营造、专业设备租赁服务、演艺与互动内容、视觉设计输出、现场管理等。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720,478.00</w:t>
      </w:r>
    </w:p>
    <w:p>
      <w:pPr>
        <w:pStyle w:val="null3"/>
      </w:pPr>
      <w:r>
        <w:rPr>
          <w:rFonts w:ascii="仿宋_GB2312" w:hAnsi="仿宋_GB2312" w:cs="仿宋_GB2312" w:eastAsia="仿宋_GB2312"/>
        </w:rPr>
        <w:t>采购包最高限价（元）: 720,478.00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暑期文商旅融合促销费主题活动服务项目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720,478.00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标的名称：暑期文商旅融合促销费主题活动服务项目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一、服务内容</w:t>
            </w:r>
          </w:p>
          <w:p>
            <w:pPr>
              <w:pStyle w:val="null3"/>
            </w:pPr>
            <w:r>
              <w:rPr>
                <w:rFonts w:ascii="仿宋_GB2312" w:hAnsi="仿宋_GB2312" w:cs="仿宋_GB2312" w:eastAsia="仿宋_GB2312"/>
                <w:sz w:val="20"/>
              </w:rPr>
              <w:t xml:space="preserve">1. </w:t>
            </w:r>
            <w:r>
              <w:rPr>
                <w:rFonts w:ascii="仿宋_GB2312" w:hAnsi="仿宋_GB2312" w:cs="仿宋_GB2312" w:eastAsia="仿宋_GB2312"/>
                <w:sz w:val="20"/>
              </w:rPr>
              <w:t>场景搭建与氛围营造：</w:t>
            </w:r>
          </w:p>
          <w:p>
            <w:pPr>
              <w:pStyle w:val="null3"/>
            </w:pPr>
            <w:r>
              <w:rPr>
                <w:rFonts w:ascii="仿宋_GB2312" w:hAnsi="仿宋_GB2312" w:cs="仿宋_GB2312" w:eastAsia="仿宋_GB2312"/>
                <w:sz w:val="20"/>
              </w:rPr>
              <w:t>1.1</w:t>
            </w:r>
            <w:r>
              <w:rPr>
                <w:rFonts w:ascii="仿宋_GB2312" w:hAnsi="仿宋_GB2312" w:cs="仿宋_GB2312" w:eastAsia="仿宋_GB2312"/>
                <w:sz w:val="20"/>
              </w:rPr>
              <w:t>设计并制作盛唐主题舞台</w:t>
            </w:r>
          </w:p>
          <w:p>
            <w:pPr>
              <w:pStyle w:val="null3"/>
            </w:pPr>
            <w:r>
              <w:rPr>
                <w:rFonts w:ascii="仿宋_GB2312" w:hAnsi="仿宋_GB2312" w:cs="仿宋_GB2312" w:eastAsia="仿宋_GB2312"/>
                <w:sz w:val="20"/>
              </w:rPr>
              <w:t>供应商自主设计，舞台面积约40㎡；</w:t>
            </w:r>
          </w:p>
          <w:p>
            <w:pPr>
              <w:pStyle w:val="null3"/>
            </w:pPr>
            <w:r>
              <w:rPr>
                <w:rFonts w:ascii="仿宋_GB2312" w:hAnsi="仿宋_GB2312" w:cs="仿宋_GB2312" w:eastAsia="仿宋_GB2312"/>
                <w:sz w:val="20"/>
              </w:rPr>
              <w:t>1.2</w:t>
            </w:r>
            <w:r>
              <w:rPr>
                <w:rFonts w:ascii="仿宋_GB2312" w:hAnsi="仿宋_GB2312" w:cs="仿宋_GB2312" w:eastAsia="仿宋_GB2312"/>
                <w:sz w:val="20"/>
              </w:rPr>
              <w:t>翻新仿古商铺</w:t>
            </w:r>
          </w:p>
          <w:p>
            <w:pPr>
              <w:pStyle w:val="null3"/>
            </w:pPr>
            <w:r>
              <w:rPr>
                <w:rFonts w:ascii="仿宋_GB2312" w:hAnsi="仿宋_GB2312" w:cs="仿宋_GB2312" w:eastAsia="仿宋_GB2312"/>
                <w:sz w:val="20"/>
              </w:rPr>
              <w:t>对38个门头牌匾提供保护性拆除并重新制作（门头尺寸是2.5米*0.7米，牌匾的尺寸是1.8米*0.5米），并配备38个五孔插座），旧灯笼保护性拆除并新做（152个拆除+2个新做，新做灯笼要求：仿古灯笼，直径350mm，高260mm，竹编灯笼、加密竹篾骨架、桐油工艺、含印字图案竹编工艺手工编制。）对约12㎡的旧车贴进行拆除并翻新；</w:t>
            </w:r>
          </w:p>
          <w:p>
            <w:pPr>
              <w:pStyle w:val="null3"/>
            </w:pPr>
            <w:r>
              <w:rPr>
                <w:rFonts w:ascii="仿宋_GB2312" w:hAnsi="仿宋_GB2312" w:cs="仿宋_GB2312" w:eastAsia="仿宋_GB2312"/>
                <w:sz w:val="20"/>
              </w:rPr>
              <w:t>1.3</w:t>
            </w:r>
            <w:r>
              <w:rPr>
                <w:rFonts w:ascii="仿宋_GB2312" w:hAnsi="仿宋_GB2312" w:cs="仿宋_GB2312" w:eastAsia="仿宋_GB2312"/>
                <w:sz w:val="20"/>
              </w:rPr>
              <w:t>定制氛围装置（鱼灯底座4套（直径223.5mm×高150mm）、灯笼底座6套（直径170mm×高150mm）、灯笼和立鼓：各2组（整体高2200mm×1900mm×530mm）、帷幔（约198㎡））。</w:t>
            </w:r>
          </w:p>
          <w:p>
            <w:pPr>
              <w:pStyle w:val="null3"/>
            </w:pPr>
            <w:r>
              <w:rPr>
                <w:rFonts w:ascii="仿宋_GB2312" w:hAnsi="仿宋_GB2312" w:cs="仿宋_GB2312" w:eastAsia="仿宋_GB2312"/>
                <w:sz w:val="20"/>
              </w:rPr>
              <w:t>2.</w:t>
            </w:r>
            <w:r>
              <w:rPr>
                <w:rFonts w:ascii="仿宋_GB2312" w:hAnsi="仿宋_GB2312" w:cs="仿宋_GB2312" w:eastAsia="仿宋_GB2312"/>
                <w:sz w:val="20"/>
              </w:rPr>
              <w:t>专业设备租赁服务：</w:t>
            </w:r>
          </w:p>
          <w:p>
            <w:pPr>
              <w:pStyle w:val="null3"/>
            </w:pPr>
            <w:r>
              <w:rPr>
                <w:rFonts w:ascii="仿宋_GB2312" w:hAnsi="仿宋_GB2312" w:cs="仿宋_GB2312" w:eastAsia="仿宋_GB2312"/>
                <w:sz w:val="20"/>
              </w:rPr>
              <w:t>2.1</w:t>
            </w:r>
            <w:r>
              <w:rPr>
                <w:rFonts w:ascii="仿宋_GB2312" w:hAnsi="仿宋_GB2312" w:cs="仿宋_GB2312" w:eastAsia="仿宋_GB2312"/>
                <w:sz w:val="20"/>
              </w:rPr>
              <w:t>音响系统租赁（共计47天）：12寸全频线阵音箱6个、15寸次低音音箱4个、18寸超低音音箱2个、调音台1个；</w:t>
            </w:r>
          </w:p>
          <w:p>
            <w:pPr>
              <w:pStyle w:val="null3"/>
            </w:pPr>
            <w:r>
              <w:rPr>
                <w:rFonts w:ascii="仿宋_GB2312" w:hAnsi="仿宋_GB2312" w:cs="仿宋_GB2312" w:eastAsia="仿宋_GB2312"/>
                <w:sz w:val="20"/>
              </w:rPr>
              <w:t>2.2</w:t>
            </w:r>
            <w:r>
              <w:rPr>
                <w:rFonts w:ascii="仿宋_GB2312" w:hAnsi="仿宋_GB2312" w:cs="仿宋_GB2312" w:eastAsia="仿宋_GB2312"/>
                <w:sz w:val="20"/>
              </w:rPr>
              <w:t>灯光设备租赁（共计47天）：LED防水切割灯8个、防水光束灯50个、防水LED灯48个、控台1个；</w:t>
            </w:r>
          </w:p>
          <w:p>
            <w:pPr>
              <w:pStyle w:val="null3"/>
            </w:pPr>
            <w:r>
              <w:rPr>
                <w:rFonts w:ascii="仿宋_GB2312" w:hAnsi="仿宋_GB2312" w:cs="仿宋_GB2312" w:eastAsia="仿宋_GB2312"/>
                <w:sz w:val="20"/>
              </w:rPr>
              <w:t>2.3</w:t>
            </w:r>
            <w:r>
              <w:rPr>
                <w:rFonts w:ascii="仿宋_GB2312" w:hAnsi="仿宋_GB2312" w:cs="仿宋_GB2312" w:eastAsia="仿宋_GB2312"/>
                <w:sz w:val="20"/>
              </w:rPr>
              <w:t>云资源租赁：租赁一条30M专线（45天）、租赁8台云服务器（8核CPU/32GB内存）2个月、租赁数据库（4核CPU/16GB内存/700G存储）2个月；</w:t>
            </w:r>
          </w:p>
          <w:p>
            <w:pPr>
              <w:pStyle w:val="null3"/>
            </w:pPr>
            <w:r>
              <w:rPr>
                <w:rFonts w:ascii="仿宋_GB2312" w:hAnsi="仿宋_GB2312" w:cs="仿宋_GB2312" w:eastAsia="仿宋_GB2312"/>
                <w:sz w:val="20"/>
              </w:rPr>
              <w:t xml:space="preserve">3. </w:t>
            </w:r>
            <w:r>
              <w:rPr>
                <w:rFonts w:ascii="仿宋_GB2312" w:hAnsi="仿宋_GB2312" w:cs="仿宋_GB2312" w:eastAsia="仿宋_GB2312"/>
                <w:sz w:val="20"/>
              </w:rPr>
              <w:t>演艺与互动内容服务：</w:t>
            </w:r>
          </w:p>
          <w:p>
            <w:pPr>
              <w:pStyle w:val="null3"/>
            </w:pPr>
            <w:r>
              <w:rPr>
                <w:rFonts w:ascii="仿宋_GB2312" w:hAnsi="仿宋_GB2312" w:cs="仿宋_GB2312" w:eastAsia="仿宋_GB2312"/>
                <w:sz w:val="20"/>
              </w:rPr>
              <w:t>3.1</w:t>
            </w:r>
            <w:r>
              <w:rPr>
                <w:rFonts w:ascii="仿宋_GB2312" w:hAnsi="仿宋_GB2312" w:cs="仿宋_GB2312" w:eastAsia="仿宋_GB2312"/>
                <w:sz w:val="20"/>
              </w:rPr>
              <w:t>提供每日3场仿唐乐舞演出：需配置演员67人（舞蹈/茶艺/不倒翁演员）、管理人员10人（总监/灯光音响/服化道）；</w:t>
            </w:r>
          </w:p>
          <w:p>
            <w:pPr>
              <w:pStyle w:val="null3"/>
            </w:pPr>
            <w:r>
              <w:rPr>
                <w:rFonts w:ascii="仿宋_GB2312" w:hAnsi="仿宋_GB2312" w:cs="仿宋_GB2312" w:eastAsia="仿宋_GB2312"/>
                <w:sz w:val="20"/>
              </w:rPr>
              <w:t>3.2</w:t>
            </w:r>
            <w:r>
              <w:rPr>
                <w:rFonts w:ascii="仿宋_GB2312" w:hAnsi="仿宋_GB2312" w:cs="仿宋_GB2312" w:eastAsia="仿宋_GB2312"/>
                <w:sz w:val="20"/>
              </w:rPr>
              <w:t>每晚组织4-5轮盛唐主题巡游，与游客互动。</w:t>
            </w:r>
          </w:p>
          <w:p>
            <w:pPr>
              <w:pStyle w:val="null3"/>
            </w:pPr>
            <w:r>
              <w:rPr>
                <w:rFonts w:ascii="仿宋_GB2312" w:hAnsi="仿宋_GB2312" w:cs="仿宋_GB2312" w:eastAsia="仿宋_GB2312"/>
                <w:sz w:val="20"/>
              </w:rPr>
              <w:t>4.</w:t>
            </w:r>
            <w:r>
              <w:rPr>
                <w:rFonts w:ascii="仿宋_GB2312" w:hAnsi="仿宋_GB2312" w:cs="仿宋_GB2312" w:eastAsia="仿宋_GB2312"/>
                <w:sz w:val="20"/>
              </w:rPr>
              <w:t>活动设计与美陈制作服务：</w:t>
            </w:r>
          </w:p>
          <w:p>
            <w:pPr>
              <w:pStyle w:val="null3"/>
            </w:pPr>
            <w:r>
              <w:rPr>
                <w:rFonts w:ascii="仿宋_GB2312" w:hAnsi="仿宋_GB2312" w:cs="仿宋_GB2312" w:eastAsia="仿宋_GB2312"/>
                <w:sz w:val="20"/>
              </w:rPr>
              <w:t>4.1</w:t>
            </w:r>
            <w:r>
              <w:rPr>
                <w:rFonts w:ascii="仿宋_GB2312" w:hAnsi="仿宋_GB2312" w:cs="仿宋_GB2312" w:eastAsia="仿宋_GB2312"/>
                <w:sz w:val="20"/>
              </w:rPr>
              <w:t>供应商需提供整体的活动设计方案，包含舞台设计、效果图、平面布局图、市集3D场景等；</w:t>
            </w:r>
          </w:p>
          <w:p>
            <w:pPr>
              <w:pStyle w:val="null3"/>
            </w:pPr>
            <w:r>
              <w:rPr>
                <w:rFonts w:ascii="仿宋_GB2312" w:hAnsi="仿宋_GB2312" w:cs="仿宋_GB2312" w:eastAsia="仿宋_GB2312"/>
                <w:sz w:val="20"/>
              </w:rPr>
              <w:t>4.2</w:t>
            </w:r>
            <w:r>
              <w:rPr>
                <w:rFonts w:ascii="仿宋_GB2312" w:hAnsi="仿宋_GB2312" w:cs="仿宋_GB2312" w:eastAsia="仿宋_GB2312"/>
                <w:sz w:val="20"/>
              </w:rPr>
              <w:t>美陈制作，包含5个LED灯箱（40×70型材4个 + 40×110型材1个）、6块软膜画面（约210cm×180cm大尺寸），1块2.7×2.7m覆膜车贴写真。</w:t>
            </w:r>
          </w:p>
          <w:p>
            <w:pPr>
              <w:pStyle w:val="null3"/>
            </w:pPr>
            <w:r>
              <w:rPr>
                <w:rFonts w:ascii="仿宋_GB2312" w:hAnsi="仿宋_GB2312" w:cs="仿宋_GB2312" w:eastAsia="仿宋_GB2312"/>
                <w:sz w:val="20"/>
              </w:rPr>
              <w:t>5.</w:t>
            </w:r>
            <w:r>
              <w:rPr>
                <w:rFonts w:ascii="仿宋_GB2312" w:hAnsi="仿宋_GB2312" w:cs="仿宋_GB2312" w:eastAsia="仿宋_GB2312"/>
                <w:sz w:val="20"/>
              </w:rPr>
              <w:t>现场管理服务</w:t>
            </w:r>
          </w:p>
          <w:p>
            <w:pPr>
              <w:pStyle w:val="null3"/>
            </w:pPr>
            <w:r>
              <w:rPr>
                <w:rFonts w:ascii="仿宋_GB2312" w:hAnsi="仿宋_GB2312" w:cs="仿宋_GB2312" w:eastAsia="仿宋_GB2312"/>
                <w:sz w:val="20"/>
              </w:rPr>
              <w:t>每日安排现场管理人员不低于2名，负责现场运营及维护，建立15分钟内响应突发事件机制。</w:t>
            </w:r>
          </w:p>
          <w:p>
            <w:pPr>
              <w:pStyle w:val="null3"/>
            </w:pPr>
            <w:r>
              <w:rPr>
                <w:rFonts w:ascii="仿宋_GB2312" w:hAnsi="仿宋_GB2312" w:cs="仿宋_GB2312" w:eastAsia="仿宋_GB2312"/>
                <w:sz w:val="20"/>
              </w:rPr>
              <w:t>二、服务要求</w:t>
            </w:r>
          </w:p>
          <w:tbl>
            <w:tblPr>
              <w:tblBorders>
                <w:top w:val="none" w:color="000000" w:sz="4"/>
                <w:left w:val="none" w:color="000000" w:sz="4"/>
                <w:bottom w:val="none" w:color="000000" w:sz="4"/>
                <w:right w:val="none" w:color="000000" w:sz="4"/>
                <w:insideH w:val="none"/>
                <w:insideV w:val="none"/>
              </w:tblBorders>
              <w:shd w:fill="FFFFFF"/>
            </w:tblPr>
            <w:tblGrid>
              <w:gridCol w:w="1276"/>
              <w:gridCol w:w="1276"/>
            </w:tblGrid>
            <w:tr>
              <w:tc>
                <w:tcPr>
                  <w:tcW w:type="dxa" w:w="1276"/>
                  <w:tcBorders>
                    <w:top w:val="single" w:color="000000" w:sz="4"/>
                    <w:left w:val="single" w:color="000000" w:sz="4"/>
                    <w:bottom w:val="single" w:color="000000" w:sz="4"/>
                    <w:right w:val="single" w:color="000000" w:sz="4"/>
                  </w:tcBorders>
                  <w:shd w:fill="FFFFFF"/>
                  <w:tcMar>
                    <w:top w:type="dxa" w:w="150"/>
                    <w:left w:type="dxa" w:w="0"/>
                    <w:bottom w:type="dxa" w:w="150"/>
                    <w:right w:type="dxa" w:w="150"/>
                  </w:tcMar>
                </w:tcPr>
                <w:p>
                  <w:pPr>
                    <w:pStyle w:val="null3"/>
                    <w:jc w:val="center"/>
                  </w:pPr>
                  <w:r>
                    <w:rPr>
                      <w:rFonts w:ascii="仿宋_GB2312" w:hAnsi="仿宋_GB2312" w:cs="仿宋_GB2312" w:eastAsia="仿宋_GB2312"/>
                      <w:sz w:val="18"/>
                    </w:rPr>
                    <w:t>项目</w:t>
                  </w:r>
                </w:p>
              </w:tc>
              <w:tc>
                <w:tcPr>
                  <w:tcW w:type="dxa" w:w="1276"/>
                  <w:tcBorders>
                    <w:top w:val="single" w:color="000000" w:sz="4"/>
                    <w:left w:val="none" w:color="000000" w:sz="4"/>
                    <w:bottom w:val="single" w:color="000000" w:sz="4"/>
                    <w:right w:val="single" w:color="000000" w:sz="4"/>
                  </w:tcBorders>
                  <w:shd w:fill="FFFFFF"/>
                  <w:tcMar>
                    <w:top w:type="dxa" w:w="150"/>
                    <w:left w:type="dxa" w:w="150"/>
                    <w:bottom w:type="dxa" w:w="150"/>
                    <w:right w:type="dxa" w:w="150"/>
                  </w:tcMar>
                </w:tcPr>
                <w:p>
                  <w:pPr>
                    <w:pStyle w:val="null3"/>
                    <w:jc w:val="center"/>
                  </w:pPr>
                  <w:r>
                    <w:rPr>
                      <w:rFonts w:ascii="仿宋_GB2312" w:hAnsi="仿宋_GB2312" w:cs="仿宋_GB2312" w:eastAsia="仿宋_GB2312"/>
                      <w:sz w:val="18"/>
                    </w:rPr>
                    <w:t>标准要求</w:t>
                  </w:r>
                </w:p>
              </w:tc>
            </w:tr>
            <w:tr>
              <w:tc>
                <w:tcPr>
                  <w:tcW w:type="dxa" w:w="1276"/>
                  <w:tcBorders>
                    <w:top w:val="none" w:color="000000" w:sz="4"/>
                    <w:left w:val="single" w:color="000000" w:sz="4"/>
                    <w:bottom w:val="single" w:color="000000" w:sz="4"/>
                    <w:right w:val="single" w:color="000000" w:sz="4"/>
                  </w:tcBorders>
                  <w:shd w:fill="FFFFFF"/>
                  <w:tcMar>
                    <w:top w:type="dxa" w:w="150"/>
                    <w:left w:type="dxa" w:w="0"/>
                    <w:bottom w:type="dxa" w:w="150"/>
                    <w:right w:type="dxa" w:w="150"/>
                  </w:tcMar>
                </w:tcPr>
                <w:p>
                  <w:pPr>
                    <w:pStyle w:val="null3"/>
                    <w:jc w:val="center"/>
                  </w:pPr>
                  <w:r>
                    <w:rPr>
                      <w:rFonts w:ascii="仿宋_GB2312" w:hAnsi="仿宋_GB2312" w:cs="仿宋_GB2312" w:eastAsia="仿宋_GB2312"/>
                      <w:sz w:val="18"/>
                    </w:rPr>
                    <w:t>舞台安全</w:t>
                  </w:r>
                </w:p>
              </w:tc>
              <w:tc>
                <w:tcPr>
                  <w:tcW w:type="dxa" w:w="1276"/>
                  <w:tcBorders>
                    <w:top w:val="none" w:color="000000" w:sz="4"/>
                    <w:left w:val="none" w:color="000000" w:sz="4"/>
                    <w:bottom w:val="single" w:color="000000" w:sz="4"/>
                    <w:right w:val="single" w:color="000000" w:sz="4"/>
                  </w:tcBorders>
                  <w:shd w:fill="FFFFFF"/>
                  <w:tcMar>
                    <w:top w:type="dxa" w:w="150"/>
                    <w:left w:type="dxa" w:w="150"/>
                    <w:bottom w:type="dxa" w:w="150"/>
                    <w:right w:type="dxa" w:w="150"/>
                  </w:tcMar>
                </w:tcPr>
                <w:p>
                  <w:pPr>
                    <w:pStyle w:val="null3"/>
                    <w:jc w:val="center"/>
                  </w:pPr>
                  <w:r>
                    <w:rPr>
                      <w:rFonts w:ascii="仿宋_GB2312" w:hAnsi="仿宋_GB2312" w:cs="仿宋_GB2312" w:eastAsia="仿宋_GB2312"/>
                      <w:sz w:val="18"/>
                    </w:rPr>
                    <w:t>结构稳固满足常规演出承重，不能出现安全事故</w:t>
                  </w:r>
                </w:p>
              </w:tc>
            </w:tr>
            <w:tr>
              <w:tc>
                <w:tcPr>
                  <w:tcW w:type="dxa" w:w="1276"/>
                  <w:tcBorders>
                    <w:top w:val="none" w:color="000000" w:sz="4"/>
                    <w:left w:val="single" w:color="000000" w:sz="4"/>
                    <w:bottom w:val="single" w:color="000000" w:sz="4"/>
                    <w:right w:val="single" w:color="000000" w:sz="4"/>
                  </w:tcBorders>
                  <w:shd w:fill="FFFFFF"/>
                  <w:tcMar>
                    <w:top w:type="dxa" w:w="150"/>
                    <w:left w:type="dxa" w:w="0"/>
                    <w:bottom w:type="dxa" w:w="150"/>
                    <w:right w:type="dxa" w:w="150"/>
                  </w:tcMar>
                </w:tcPr>
                <w:p>
                  <w:pPr>
                    <w:pStyle w:val="null3"/>
                    <w:jc w:val="center"/>
                  </w:pPr>
                  <w:r>
                    <w:rPr>
                      <w:rFonts w:ascii="仿宋_GB2312" w:hAnsi="仿宋_GB2312" w:cs="仿宋_GB2312" w:eastAsia="仿宋_GB2312"/>
                      <w:sz w:val="18"/>
                    </w:rPr>
                    <w:t>灯光音响</w:t>
                  </w:r>
                </w:p>
              </w:tc>
              <w:tc>
                <w:tcPr>
                  <w:tcW w:type="dxa" w:w="1276"/>
                  <w:tcBorders>
                    <w:top w:val="none" w:color="000000" w:sz="4"/>
                    <w:left w:val="none" w:color="000000" w:sz="4"/>
                    <w:bottom w:val="single" w:color="000000" w:sz="4"/>
                    <w:right w:val="single" w:color="000000" w:sz="4"/>
                  </w:tcBorders>
                  <w:shd w:fill="FFFFFF"/>
                  <w:tcMar>
                    <w:top w:type="dxa" w:w="150"/>
                    <w:left w:type="dxa" w:w="150"/>
                    <w:bottom w:type="dxa" w:w="150"/>
                    <w:right w:type="dxa" w:w="150"/>
                  </w:tcMar>
                </w:tcPr>
                <w:p>
                  <w:pPr>
                    <w:pStyle w:val="null3"/>
                    <w:jc w:val="center"/>
                  </w:pPr>
                  <w:r>
                    <w:rPr>
                      <w:rFonts w:ascii="仿宋_GB2312" w:hAnsi="仿宋_GB2312" w:cs="仿宋_GB2312" w:eastAsia="仿宋_GB2312"/>
                      <w:sz w:val="18"/>
                    </w:rPr>
                    <w:t>设备符合安全标准，控台支持多轨编程，声压级覆盖全场</w:t>
                  </w:r>
                </w:p>
              </w:tc>
            </w:tr>
            <w:tr>
              <w:tc>
                <w:tcPr>
                  <w:tcW w:type="dxa" w:w="1276"/>
                  <w:tcBorders>
                    <w:top w:val="none" w:color="000000" w:sz="4"/>
                    <w:left w:val="single" w:color="000000" w:sz="4"/>
                    <w:bottom w:val="single" w:color="000000" w:sz="4"/>
                    <w:right w:val="single" w:color="000000" w:sz="4"/>
                  </w:tcBorders>
                  <w:shd w:fill="FFFFFF"/>
                  <w:tcMar>
                    <w:top w:type="dxa" w:w="150"/>
                    <w:left w:type="dxa" w:w="0"/>
                    <w:bottom w:type="dxa" w:w="150"/>
                    <w:right w:type="dxa" w:w="150"/>
                  </w:tcMar>
                </w:tcPr>
                <w:p>
                  <w:pPr>
                    <w:pStyle w:val="null3"/>
                    <w:jc w:val="center"/>
                  </w:pPr>
                  <w:r>
                    <w:rPr>
                      <w:rFonts w:ascii="仿宋_GB2312" w:hAnsi="仿宋_GB2312" w:cs="仿宋_GB2312" w:eastAsia="仿宋_GB2312"/>
                      <w:sz w:val="18"/>
                    </w:rPr>
                    <w:t>演艺内容</w:t>
                  </w:r>
                </w:p>
              </w:tc>
              <w:tc>
                <w:tcPr>
                  <w:tcW w:type="dxa" w:w="1276"/>
                  <w:tcBorders>
                    <w:top w:val="none" w:color="000000" w:sz="4"/>
                    <w:left w:val="none" w:color="000000" w:sz="4"/>
                    <w:bottom w:val="single" w:color="000000" w:sz="4"/>
                    <w:right w:val="single" w:color="000000" w:sz="4"/>
                  </w:tcBorders>
                  <w:shd w:fill="FFFFFF"/>
                  <w:tcMar>
                    <w:top w:type="dxa" w:w="150"/>
                    <w:left w:type="dxa" w:w="150"/>
                    <w:bottom w:type="dxa" w:w="150"/>
                    <w:right w:type="dxa" w:w="150"/>
                  </w:tcMar>
                </w:tcPr>
                <w:p>
                  <w:pPr>
                    <w:pStyle w:val="null3"/>
                    <w:jc w:val="center"/>
                  </w:pPr>
                  <w:r>
                    <w:rPr>
                      <w:rFonts w:ascii="仿宋_GB2312" w:hAnsi="仿宋_GB2312" w:cs="仿宋_GB2312" w:eastAsia="仿宋_GB2312"/>
                      <w:sz w:val="18"/>
                    </w:rPr>
                    <w:t>节目主题契合盛唐文化，演员专业素养良好，无低俗表演</w:t>
                  </w:r>
                </w:p>
              </w:tc>
            </w:tr>
            <w:tr>
              <w:tc>
                <w:tcPr>
                  <w:tcW w:type="dxa" w:w="1276"/>
                  <w:tcBorders>
                    <w:top w:val="none" w:color="000000" w:sz="4"/>
                    <w:left w:val="single" w:color="000000" w:sz="4"/>
                    <w:bottom w:val="single" w:color="000000" w:sz="4"/>
                    <w:right w:val="single" w:color="000000" w:sz="4"/>
                  </w:tcBorders>
                  <w:shd w:fill="FFFFFF"/>
                  <w:tcMar>
                    <w:top w:type="dxa" w:w="150"/>
                    <w:left w:type="dxa" w:w="0"/>
                    <w:bottom w:type="dxa" w:w="150"/>
                    <w:right w:type="dxa" w:w="150"/>
                  </w:tcMar>
                </w:tcPr>
                <w:p>
                  <w:pPr>
                    <w:pStyle w:val="null3"/>
                    <w:jc w:val="center"/>
                  </w:pPr>
                  <w:r>
                    <w:rPr>
                      <w:rFonts w:ascii="仿宋_GB2312" w:hAnsi="仿宋_GB2312" w:cs="仿宋_GB2312" w:eastAsia="仿宋_GB2312"/>
                      <w:sz w:val="18"/>
                    </w:rPr>
                    <w:t>场景还原度</w:t>
                  </w:r>
                </w:p>
              </w:tc>
              <w:tc>
                <w:tcPr>
                  <w:tcW w:type="dxa" w:w="1276"/>
                  <w:tcBorders>
                    <w:top w:val="none" w:color="000000" w:sz="4"/>
                    <w:left w:val="none" w:color="000000" w:sz="4"/>
                    <w:bottom w:val="single" w:color="000000" w:sz="4"/>
                    <w:right w:val="single" w:color="000000" w:sz="4"/>
                  </w:tcBorders>
                  <w:shd w:fill="FFFFFF"/>
                  <w:tcMar>
                    <w:top w:type="dxa" w:w="150"/>
                    <w:left w:type="dxa" w:w="150"/>
                    <w:bottom w:type="dxa" w:w="150"/>
                    <w:right w:type="dxa" w:w="150"/>
                  </w:tcMar>
                </w:tcPr>
                <w:p>
                  <w:pPr>
                    <w:pStyle w:val="null3"/>
                    <w:jc w:val="center"/>
                  </w:pPr>
                  <w:r>
                    <w:rPr>
                      <w:rFonts w:ascii="仿宋_GB2312" w:hAnsi="仿宋_GB2312" w:cs="仿宋_GB2312" w:eastAsia="仿宋_GB2312"/>
                      <w:sz w:val="18"/>
                    </w:rPr>
                    <w:t>盛唐元素应用准确，整体氛围协调无违和感</w:t>
                  </w:r>
                </w:p>
              </w:tc>
            </w:tr>
            <w:tr>
              <w:tc>
                <w:tcPr>
                  <w:tcW w:type="dxa" w:w="1276"/>
                  <w:tcBorders>
                    <w:top w:val="none" w:color="000000" w:sz="4"/>
                    <w:left w:val="single" w:color="000000" w:sz="4"/>
                    <w:bottom w:val="single" w:color="000000" w:sz="4"/>
                    <w:right w:val="single" w:color="000000" w:sz="4"/>
                  </w:tcBorders>
                  <w:shd w:fill="FFFFFF"/>
                  <w:tcMar>
                    <w:top w:type="dxa" w:w="150"/>
                    <w:left w:type="dxa" w:w="0"/>
                    <w:bottom w:type="dxa" w:w="150"/>
                    <w:right w:type="dxa" w:w="150"/>
                  </w:tcMar>
                </w:tcPr>
                <w:p>
                  <w:pPr>
                    <w:pStyle w:val="null3"/>
                    <w:jc w:val="center"/>
                  </w:pPr>
                  <w:r>
                    <w:rPr>
                      <w:rFonts w:ascii="仿宋_GB2312" w:hAnsi="仿宋_GB2312" w:cs="仿宋_GB2312" w:eastAsia="仿宋_GB2312"/>
                      <w:sz w:val="18"/>
                    </w:rPr>
                    <w:t>现场管理</w:t>
                  </w:r>
                </w:p>
              </w:tc>
              <w:tc>
                <w:tcPr>
                  <w:tcW w:type="dxa" w:w="1276"/>
                  <w:tcBorders>
                    <w:top w:val="none" w:color="000000" w:sz="4"/>
                    <w:left w:val="none" w:color="000000" w:sz="4"/>
                    <w:bottom w:val="single" w:color="000000" w:sz="4"/>
                    <w:right w:val="single" w:color="000000" w:sz="4"/>
                  </w:tcBorders>
                  <w:shd w:fill="FFFFFF"/>
                  <w:tcMar>
                    <w:top w:type="dxa" w:w="150"/>
                    <w:left w:type="dxa" w:w="150"/>
                    <w:bottom w:type="dxa" w:w="150"/>
                    <w:right w:type="dxa" w:w="150"/>
                  </w:tcMar>
                </w:tcPr>
                <w:p>
                  <w:pPr>
                    <w:pStyle w:val="null3"/>
                    <w:jc w:val="center"/>
                  </w:pPr>
                  <w:r>
                    <w:rPr>
                      <w:rFonts w:ascii="仿宋_GB2312" w:hAnsi="仿宋_GB2312" w:cs="仿宋_GB2312" w:eastAsia="仿宋_GB2312"/>
                      <w:sz w:val="18"/>
                    </w:rPr>
                    <w:t>配备专职管理团队，建立人流分级管控机制，15分钟内响应突发事件</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合同签订后47天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西安曲江新区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响应文件封面 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1.针对本项目提出适用于本项目的总体方案： 1.1本项目整体统筹方案； 1.2场景搭建与氛围营造方案； 1.3专业设备租赁方案； 1.4现场管理方案。 2.演艺与互动内容组织方案； 2.1提供仿唐乐舞演出方案，包含演出内容、表演形式、演出单等； 2.2提供盛唐主题巡游方案，包含迅游路线、人员组织、服装配置、互动内容等； 3.搭建及各类拆除过程中的各类安全保障措施。 4.针对本项目可能发生的各类突发情况的应急预案。 二、评审标准 1.完整性:方案必须全面，对评审内容中的各项要求有详细描述； 2.可实施性:切合本项目实际情况，提出步骤清晰、合理的方案； 3.针对性:方案能够紧扣项目实际情况，内容科学合理。 三、赋分标准(满分48分) 以上每项每完全满足一个评审标准得2分，单项满分6分。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提供整体的活动设计思路及视觉方案，包含但不限于舞台设计效果图、布局图、市集3D场景、活动ppt等； 二、评审标准： 1、完整性：方案必须全面，对评审内容中的各项要求有详细描述； 2、可实施性：切合本项目实际情况，提出步骤清晰、合理的方案； 3、合理性：方案能够紧扣项目实际情况，内容科学合理。 三、赋分标准(满分12分) 以上每项每完全满足一个评审标准得4分，满分12分。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针对供应商拟为本项目团队进行评审： 1.演员团队； 2.管理人员团队； 3.设计团队； 4.搭建与拆除团队； 二、评审标准 1.人数配备满足文件要求，分工安排合理、职责划分明确； 2.提供具体的人员身份证明及简历。 三、赋分标准(满分8分) 以上每项每完全满足一个评审标准得1分，单项满分2分。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针对本项目提供质量保证方案： 1.服务质量的保证方案； 2.服务团队保障方案； 3.仪器设备保障方案。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 四、供应商具有本地化服务能力，提供相关证明材料的计3分。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供应商提供2022年01月（以合同签订时间为准）至今类似项目业绩（业绩以合同为依据），每提供一个业绩证明计2分，满分10分。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 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