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版本号：SCZE2025-ZB-1833-001.1B120250813001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大明宫保护办2025年度员工餐厅食材采购及配送服务项目(二次)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SCZE2025-ZB-1833-001.1B1</w:t>
      </w:r>
      <w:r>
        <w:br/>
      </w:r>
      <w:r>
        <w:br/>
      </w:r>
      <w:r>
        <w:br/>
      </w:r>
    </w:p>
    <w:p>
      <w:pPr>
        <w:pStyle w:val="null3"/>
        <w:jc w:val="center"/>
        <w:outlineLvl w:val="2"/>
      </w:pPr>
      <w:r>
        <w:rPr>
          <w:rFonts w:ascii="仿宋_GB2312" w:hAnsi="仿宋_GB2312" w:cs="仿宋_GB2312" w:eastAsia="仿宋_GB2312"/>
          <w:sz w:val="28"/>
          <w:b/>
        </w:rPr>
        <w:t>西安曲江大明宫遗址区保护办公室</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西安曲江大明宫遗址区保护办公室</w:t>
      </w:r>
      <w:r>
        <w:rPr>
          <w:rFonts w:ascii="仿宋_GB2312" w:hAnsi="仿宋_GB2312" w:cs="仿宋_GB2312" w:eastAsia="仿宋_GB2312"/>
        </w:rPr>
        <w:t>委托，拟对</w:t>
      </w:r>
      <w:r>
        <w:rPr>
          <w:rFonts w:ascii="仿宋_GB2312" w:hAnsi="仿宋_GB2312" w:cs="仿宋_GB2312" w:eastAsia="仿宋_GB2312"/>
        </w:rPr>
        <w:t>大明宫保护办2025年度员工餐厅食材采购及配送服务项目(二次)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SCZE2025-ZB-1833-001.1B1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大明宫保护办2025年度员工餐厅食材采购及配送服务项目(二次)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食材采购及配送服务，具体详见采购内容及要求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采购包1（大明宫保护办2025年度员工餐厅食材采购及配送服务项目）：属于专门面向中小企业采购。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或法人身份证明：法人授权委托书或法人身份证明：法定代表人直接参加投标的，须出具法人身份证，并与营业执照上信息一致。法定代表人授权代表参加的，须出具法定代表人授权书、授权代表身份证及被授权人本单位证明（提供授权代表在本单位缴纳养老保险的证明）</w:t>
      </w:r>
    </w:p>
    <w:p>
      <w:pPr>
        <w:pStyle w:val="null3"/>
      </w:pPr>
      <w:r>
        <w:rPr>
          <w:rFonts w:ascii="仿宋_GB2312" w:hAnsi="仿宋_GB2312" w:cs="仿宋_GB2312" w:eastAsia="仿宋_GB2312"/>
        </w:rPr>
        <w:t>2、信用要求：投标人在递交投标文件截止时间前被“信用中国 ”网站（www.creditchina.gov.cn）和中国政府采购网（www.ccgp.gov.cn）上被列入失信被执行人、重大税收违法失信主体、政府采购严重违法失信行为记录名单的，不得参加本次采购活动。</w:t>
      </w:r>
    </w:p>
    <w:p>
      <w:pPr>
        <w:pStyle w:val="null3"/>
      </w:pPr>
      <w:r>
        <w:rPr>
          <w:rFonts w:ascii="仿宋_GB2312" w:hAnsi="仿宋_GB2312" w:cs="仿宋_GB2312" w:eastAsia="仿宋_GB2312"/>
        </w:rPr>
        <w:t>3、特殊资格：投标人具有《食品经营许可证》或《食品经营备案证》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西安曲江大明宫遗址区保护办公室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西安市未央区玄武路78号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029-86451067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李江西、马超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西安曲江大明宫遗址区保护办公室</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西安曲江大明宫遗址区保护办公室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西安曲江大明宫遗址区保护办公室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为保障干部员工日常工作用餐，确保食材安全、价格合理、送达及时，现需采购员工餐厅食材采购及配送服务。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2,330,000.00</w:t>
      </w:r>
    </w:p>
    <w:p>
      <w:pPr>
        <w:pStyle w:val="null3"/>
      </w:pPr>
      <w:r>
        <w:rPr>
          <w:rFonts w:ascii="仿宋_GB2312" w:hAnsi="仿宋_GB2312" w:cs="仿宋_GB2312" w:eastAsia="仿宋_GB2312"/>
        </w:rPr>
        <w:t>采购包最高限价（元）: 2,330,000.00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2330000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2,330,000.00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标的名称：2330000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为保障干部员工日常工作用餐，确保食材安全、价格合理、送达及时，现需采购员工餐厅食材采购及配送服务。</w:t>
            </w:r>
          </w:p>
          <w:p>
            <w:pPr>
              <w:pStyle w:val="null3"/>
              <w:ind w:firstLine="361"/>
              <w:jc w:val="both"/>
            </w:pPr>
            <w:r>
              <w:rPr>
                <w:rFonts w:ascii="仿宋_GB2312" w:hAnsi="仿宋_GB2312" w:cs="仿宋_GB2312" w:eastAsia="仿宋_GB2312"/>
                <w:sz w:val="24"/>
                <w:b/>
              </w:rPr>
              <w:t>二、食材类目</w:t>
            </w:r>
          </w:p>
          <w:p>
            <w:pPr>
              <w:pStyle w:val="null3"/>
              <w:ind w:firstLine="480"/>
              <w:jc w:val="both"/>
            </w:pPr>
            <w:r>
              <w:rPr>
                <w:rFonts w:ascii="仿宋_GB2312" w:hAnsi="仿宋_GB2312" w:cs="仿宋_GB2312" w:eastAsia="仿宋_GB2312"/>
                <w:sz w:val="24"/>
              </w:rPr>
              <w:t>肉类、蛋类、蔬菜、调料米面豆等员工餐厅所需食材及预包装、熟食、盒装餐品(如牛奶)等。供应食材质量必须达到国家规定的无公害的标准，符合食品安全卫生安全标准的相关规定，从正规渠道采购并提供相应检测报告等。对于不合格食材，须第一时间退换并承担相应损失。</w:t>
            </w:r>
          </w:p>
          <w:p>
            <w:pPr>
              <w:pStyle w:val="null3"/>
              <w:ind w:left="630"/>
              <w:jc w:val="both"/>
            </w:pPr>
            <w:r>
              <w:rPr>
                <w:rFonts w:ascii="仿宋_GB2312" w:hAnsi="仿宋_GB2312" w:cs="仿宋_GB2312" w:eastAsia="仿宋_GB2312"/>
                <w:sz w:val="24"/>
                <w:b/>
              </w:rPr>
              <w:t>三、供应要求</w:t>
            </w:r>
          </w:p>
          <w:p>
            <w:pPr>
              <w:pStyle w:val="null3"/>
              <w:ind w:firstLine="480"/>
              <w:jc w:val="both"/>
            </w:pPr>
            <w:r>
              <w:rPr>
                <w:rFonts w:ascii="仿宋_GB2312" w:hAnsi="仿宋_GB2312" w:cs="仿宋_GB2312" w:eastAsia="仿宋_GB2312"/>
                <w:sz w:val="24"/>
              </w:rPr>
              <w:t>（一）餐厅根据实际情况需求，于前一天</w:t>
            </w:r>
            <w:r>
              <w:rPr>
                <w:rFonts w:ascii="仿宋_GB2312" w:hAnsi="仿宋_GB2312" w:cs="仿宋_GB2312" w:eastAsia="仿宋_GB2312"/>
                <w:sz w:val="24"/>
              </w:rPr>
              <w:t>18</w:t>
            </w:r>
            <w:r>
              <w:rPr>
                <w:rFonts w:ascii="仿宋_GB2312" w:hAnsi="仿宋_GB2312" w:cs="仿宋_GB2312" w:eastAsia="仿宋_GB2312"/>
                <w:sz w:val="24"/>
              </w:rPr>
              <w:t>：00</w:t>
            </w:r>
            <w:r>
              <w:rPr>
                <w:rFonts w:ascii="仿宋_GB2312" w:hAnsi="仿宋_GB2312" w:cs="仿宋_GB2312" w:eastAsia="仿宋_GB2312"/>
                <w:sz w:val="24"/>
              </w:rPr>
              <w:t>时前报送订单，订单包括食材品种、数量、规格、计量单位（以斤为计量单位）等内</w:t>
            </w:r>
            <w:r>
              <w:rPr>
                <w:rFonts w:ascii="仿宋_GB2312" w:hAnsi="仿宋_GB2312" w:cs="仿宋_GB2312" w:eastAsia="仿宋_GB2312"/>
                <w:sz w:val="24"/>
              </w:rPr>
              <w:t>供原材料采购单价，该单价需按照当地行情提供，不得高于周边农贸市场同品类价格。</w:t>
            </w:r>
          </w:p>
          <w:p>
            <w:pPr>
              <w:pStyle w:val="null3"/>
              <w:ind w:firstLine="480"/>
              <w:jc w:val="both"/>
            </w:pPr>
            <w:r>
              <w:rPr>
                <w:rFonts w:ascii="仿宋_GB2312" w:hAnsi="仿宋_GB2312" w:cs="仿宋_GB2312" w:eastAsia="仿宋_GB2312"/>
                <w:sz w:val="24"/>
              </w:rPr>
              <w:t>（二）每月</w:t>
            </w:r>
            <w:r>
              <w:rPr>
                <w:rFonts w:ascii="仿宋_GB2312" w:hAnsi="仿宋_GB2312" w:cs="仿宋_GB2312" w:eastAsia="仿宋_GB2312"/>
                <w:sz w:val="24"/>
              </w:rPr>
              <w:t>1</w:t>
            </w:r>
            <w:r>
              <w:rPr>
                <w:rFonts w:ascii="仿宋_GB2312" w:hAnsi="仿宋_GB2312" w:cs="仿宋_GB2312" w:eastAsia="仿宋_GB2312"/>
                <w:sz w:val="24"/>
              </w:rPr>
              <w:t>日、15</w:t>
            </w:r>
            <w:r>
              <w:rPr>
                <w:rFonts w:ascii="仿宋_GB2312" w:hAnsi="仿宋_GB2312" w:cs="仿宋_GB2312" w:eastAsia="仿宋_GB2312"/>
                <w:sz w:val="24"/>
              </w:rPr>
              <w:t>日，根据市场行情确定品种食材单价；本次单价确定后至下次单价确定日期到来前，食材价格按本次确定单价参照执行。</w:t>
            </w:r>
          </w:p>
          <w:p>
            <w:pPr>
              <w:pStyle w:val="null3"/>
              <w:ind w:firstLine="480"/>
              <w:jc w:val="both"/>
            </w:pPr>
            <w:r>
              <w:rPr>
                <w:rFonts w:ascii="仿宋_GB2312" w:hAnsi="仿宋_GB2312" w:cs="仿宋_GB2312" w:eastAsia="仿宋_GB2312"/>
                <w:sz w:val="24"/>
              </w:rPr>
              <w:t>（三）供应食材质量必须达到国家规定的无公害的标准，符合食品安全卫生安全标准的相关规定，从正规渠道采购并提供相应检测报告等。对于不合格食材，须第一时间退换并承担相应损失。</w:t>
            </w:r>
          </w:p>
          <w:p>
            <w:pPr>
              <w:pStyle w:val="null3"/>
              <w:ind w:firstLine="480"/>
              <w:jc w:val="both"/>
            </w:pPr>
            <w:r>
              <w:rPr>
                <w:rFonts w:ascii="仿宋_GB2312" w:hAnsi="仿宋_GB2312" w:cs="仿宋_GB2312" w:eastAsia="仿宋_GB2312"/>
                <w:sz w:val="24"/>
              </w:rPr>
              <w:t>（四）按规定时间将食材配送至采购人指定地点，无特殊情况不得延误配送时间，定期与采购单位对接，沟通食材供应的意见和建议。</w:t>
            </w:r>
          </w:p>
          <w:p>
            <w:pPr>
              <w:pStyle w:val="null3"/>
              <w:ind w:firstLine="482"/>
              <w:jc w:val="both"/>
            </w:pPr>
            <w:r>
              <w:rPr>
                <w:rFonts w:ascii="仿宋_GB2312" w:hAnsi="仿宋_GB2312" w:cs="仿宋_GB2312" w:eastAsia="仿宋_GB2312"/>
                <w:sz w:val="24"/>
                <w:b/>
                <w:color w:val="000000"/>
              </w:rPr>
              <w:t>四、服务期</w:t>
            </w:r>
          </w:p>
          <w:p>
            <w:pPr>
              <w:pStyle w:val="null3"/>
              <w:ind w:firstLine="480"/>
              <w:jc w:val="both"/>
            </w:pPr>
            <w:r>
              <w:rPr>
                <w:rFonts w:ascii="仿宋_GB2312" w:hAnsi="仿宋_GB2312" w:cs="仿宋_GB2312" w:eastAsia="仿宋_GB2312"/>
                <w:sz w:val="24"/>
                <w:color w:val="000000"/>
              </w:rPr>
              <w:t>服务期限:自合同签订之日起12个月，</w:t>
            </w:r>
            <w:r>
              <w:rPr>
                <w:rFonts w:ascii="仿宋_GB2312" w:hAnsi="仿宋_GB2312" w:cs="仿宋_GB2312" w:eastAsia="仿宋_GB2312"/>
                <w:sz w:val="24"/>
                <w:color w:val="000000"/>
              </w:rPr>
              <w:t>服务地点</w:t>
            </w:r>
            <w:r>
              <w:rPr>
                <w:rFonts w:ascii="仿宋_GB2312" w:hAnsi="仿宋_GB2312" w:cs="仿宋_GB2312" w:eastAsia="仿宋_GB2312"/>
                <w:sz w:val="24"/>
                <w:color w:val="000000"/>
              </w:rPr>
              <w:t>：甲方指定地点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12 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乙方完成服务内容后，向甲方提出验收申请，甲方接到乙方验收申请后组织验收（必要时可聘请相应专家或委托相应部门验收），验收合格后，出具使用验收合格证明。具体详见拟签订合同。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按月据实结算，次月5日前投标人将上月实际配送清单及对应每日市场价清单交于采购人，经采购人审核且双方无异议，按照成交下浮率结算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按月据实结算，次月5日前投标人将上月实际配送清单及对应每日市场价清单交于采购人，经采购人审核且双方无异议，按照成交下浮率结算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按月据实结算，次月5日前投标人将上月实际配送清单及对应每日市场价清单交于采购人，经采购人审核且双方无异议，按照成交下浮率结算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按月据实结算，次月5日前投标人将上月实际配送清单及对应每日市场价清单交于采购人，经采购人审核且双方无异议，按照成交下浮率结算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按月据实结算，次月5日前投标人将上月实际配送清单及对应每日市场价清单交于采购人，经采购人审核且双方无异议，按照成交下浮率结算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按月据实结算，次月5日前投标人将上月实际配送清单及对应每日市场价清单交于采购人，经采购人审核且双方无异议，按照成交下浮率结算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按月据实结算，次月5日前投标人将上月实际配送清单及对应每日市场价清单交于采购人，经采购人审核且双方无异议，按照成交下浮率结算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按月据实结算，次月5日前投标人将上月实际配送清单及对应每日市场价清单交于采购人，经采购人审核且双方无异议，按照成交下浮率结算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按月据实结算，次月5日前投标人将上月实际配送清单及对应每日市场价清单交于采购人，经采购人审核且双方无异议，按照成交下浮率结算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按月据实结算，次月5日前投标人将上月实际配送清单及对应每日市场价清单交于采购人，经采购人审核且双方无异议，按照成交下浮率结算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按月据实结算，次月5日前投标人将上月实际配送清单及对应每日市场价清单交于采购人，经采购人审核且双方无异议，按照成交下浮率结算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按月据实结算，次月5日前投标人将上月实际配送清单及对应每日市场价清单交于采购人，经采购人审核且双方无异议，按照成交下浮率结算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投标人需在项目电子化交易系统中按要求填写《投标函》及《资格证明文件》完成承诺并进行电子签章。</w:t>
            </w:r>
          </w:p>
        </w:tc>
        <w:tc>
          <w:tcPr>
            <w:tcW w:type="dxa" w:w="1661"/>
          </w:tcPr>
          <w:p>
            <w:pPr>
              <w:pStyle w:val="null3"/>
            </w:pPr>
            <w:r>
              <w:rPr>
                <w:rFonts w:ascii="仿宋_GB2312" w:hAnsi="仿宋_GB2312" w:cs="仿宋_GB2312" w:eastAsia="仿宋_GB2312"/>
              </w:rPr>
              <w:t>投标函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投标人需在项目电子化交易系统中按要求填写《资格证明文件》并进行电子签章。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投标人需在项目电子化交易系统中按要求填写《投标函》及《资格证明文件》完成承诺并进行电子签章。</w:t>
            </w:r>
          </w:p>
        </w:tc>
        <w:tc>
          <w:tcPr>
            <w:tcW w:type="dxa" w:w="1661"/>
          </w:tcPr>
          <w:p>
            <w:pPr>
              <w:pStyle w:val="null3"/>
            </w:pPr>
            <w:r>
              <w:rPr>
                <w:rFonts w:ascii="仿宋_GB2312" w:hAnsi="仿宋_GB2312" w:cs="仿宋_GB2312" w:eastAsia="仿宋_GB2312"/>
              </w:rPr>
              <w:t>投标函 资格证明文件.pdf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人授权委托书或法人身份证明：法定代表人直接参加投标的，须出具法人身份证，并与营业执照上信息一致。法定代表人授权代表参加的，须出具法定代表人授权书、授权代表身份证及被授权人本单位证明（提供授权代表在本单位缴纳养老保险的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投标人在递交投标文件截止时间前被“信用中国 ”网站（www.creditchina.gov.cn）和中国政府采购网（www.ccgp.gov.cn）上被列入失信被执行人、重大税收违法失信主体、政府采购严重违法失信行为记录名单的，不得参加本次采购活动。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投标人具有《食品经营许可证》或《食品经营备案证》</w:t>
            </w:r>
          </w:p>
        </w:tc>
        <w:tc>
          <w:tcPr>
            <w:tcW w:type="dxa" w:w="1661"/>
          </w:tcPr>
          <w:p>
            <w:pPr>
              <w:pStyle w:val="null3"/>
            </w:pPr>
            <w:r>
              <w:rPr>
                <w:rFonts w:ascii="仿宋_GB2312" w:hAnsi="仿宋_GB2312" w:cs="仿宋_GB2312" w:eastAsia="仿宋_GB2312"/>
              </w:rPr>
              <w:t>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投标人应为中小微企业、监狱企业或残疾人福利性单位。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拒绝政府采购领域商业贿赂承诺书.pdf 投标函 中小企业声明函 残疾人福利性单位声明函 开标一览表.pdf 标的清单 投标文件封面 偏离表.pdf 资格证明文件.pdf 监狱企业的证明文件 投标方案.pdf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开标一览表 拒绝政府采购领域商业贿赂承诺书.pdf 投标函 中小企业声明函 残疾人福利性单位声明函 开标一览表.pdf 标的清单 投标文件封面 偏离表.pdf 资格证明文件.pdf 监狱企业的证明文件 投标方案.pdf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 开标一览表.pdf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投标内容不存在漏项或数量不符合招标文件规定情形，投标内容满足招标文件的商务、技术等实质性要求</w:t>
            </w:r>
          </w:p>
        </w:tc>
        <w:tc>
          <w:tcPr>
            <w:tcW w:type="dxa" w:w="1661"/>
          </w:tcPr>
          <w:p>
            <w:pPr>
              <w:pStyle w:val="null3"/>
            </w:pPr>
            <w:r>
              <w:rPr>
                <w:rFonts w:ascii="仿宋_GB2312" w:hAnsi="仿宋_GB2312" w:cs="仿宋_GB2312" w:eastAsia="仿宋_GB2312"/>
              </w:rPr>
              <w:t>开标一览表 拒绝政府采购领域商业贿赂承诺书.pdf 投标函 中小企业声明函 残疾人福利性单位声明函 开标一览表.pdf 标的清单 投标文件封面 偏离表.pdf 资格证明文件.pdf 监狱企业的证明文件 投标方案.pdf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拒绝政府采购领域商业贿赂承诺书.pdf 投标函 中小企业声明函 残疾人福利性单位声明函 开标一览表.pdf 标的清单 投标文件封面 偏离表.pdf 资格证明文件.pdf 监狱企业的证明文件 投标方案.pdf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投标人针对本项目的理解，提供包含但不限于：服务流程、进货渠道、存储方案、食品配送方案、配送设备、食材验收方案等实施方案； 实施方案目标明确、安排合理、清晰、可行强得15分； 实施方案目标较明确、安排较合理、清晰、可行较强得10分； 实施方案目标不明确、安排不合理、可行差得5分。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仓储管理制度</w:t>
            </w:r>
          </w:p>
        </w:tc>
        <w:tc>
          <w:tcPr>
            <w:tcW w:type="dxa" w:w="2492"/>
          </w:tcPr>
          <w:p>
            <w:pPr>
              <w:pStyle w:val="null3"/>
            </w:pPr>
            <w:r>
              <w:rPr>
                <w:rFonts w:ascii="仿宋_GB2312" w:hAnsi="仿宋_GB2312" w:cs="仿宋_GB2312" w:eastAsia="仿宋_GB2312"/>
              </w:rPr>
              <w:t>投标人针对本项目采购需求，编制详细的仓储管理与配送制度，包括但不限于仓管人员分工职责、仓储卫生管理、消防安全管理、仓库出库检查及包装装车、发货运输等内容；内容涵盖以上所有方面，条理清晰，方案详细全面、针对性强的计7分；内容粗略有缺陷或只有标题没有实质性内容的计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投标人针对本项目提供应急方案，包括但不限于：实施过程突发的紧急状况处理方式及措施、天气、车辆故障等突发事件、配送或使用过程出现问题的应急方案； 方案详细完整、科学合理可行，针对性强，完全符合项目特点及要求得10分； 方案基本完整，针对性较强，基本符合项目特点及要求得6分； 方案内容不完整、针对性一般得3分。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针对本项目采购需求，编制详细的服务方案，包括但不限于服务流程、与采购人沟通、配送方案、检测方案、供货响应时间等内容；内容涵盖以上所有方面，条理清晰，方案详细、针对性强的计12分；内容涵盖以上所有方面，方案比较清晰全面，符合项目采购需求，具有可行性的计8分；内容粗略有缺陷或只有标题没有实质性内容的计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人针对本项目服务内容和要求，编制详细的质量保障措施，包括但不限于食品安全质量承诺、采购环节控制、加工包装保存运输环节、食品安全质量保障计划、食品安全质量违约措施等；内容涵盖以上所有方面，条理清晰，方案详细、针对性强的计15分；内容涵盖以上所有方面，方案比较清晰全面，符合项目采购需求，具有可行性的计10分；内容粗略有缺陷或只有标题没有实质性内容的计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投标人针对本项目提供岗位及人员配置： 项目组成人员职责任务明确、人员数量和人员专业结构配备合理，完全满足本项目服务要求的得10分； 项目组成人员职责分工安排较清晰合理、人员数量和专业结构配备较合理，基本满足本项目要求的得6分； 项目组成人员职责分工安排差、人员数量和专业结构配备差，难以满足本项目要求的得3分。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投标人针对本项目提出具体的售后服务方案，包含但不限于：售后服务机构地址及负责人的联系方式、售后服务人员安排、售后服务保障措施、出现残次品等补货换货解决方案、质量问题的响应时间等； 服务详细完整、科学合理可行，针对性强，完全符合项目特点及要求得10分； 服务基本完整，针对性较强，基本符合项目特点及要求得6分； 服务内容不完整、针对性一般得3分。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投标人提供近三年（2022年1月1日至今，以合同签订时间为准）的同类项目业绩，每提供一个业绩证明计2分，满分6分。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满足招标文件内容及技术要求且投标报价最低的报价为评标基准价，其价格分为满分。 投标报价得分=（评标基准价／投标报价）×价格权值×100。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详见附件：拒绝政府采购领域商业贿赂承诺书.pdf</w:t>
      </w:r>
    </w:p>
    <w:p>
      <w:pPr>
        <w:pStyle w:val="null3"/>
        <w:ind w:firstLine="960"/>
      </w:pPr>
      <w:r>
        <w:rPr>
          <w:rFonts w:ascii="仿宋_GB2312" w:hAnsi="仿宋_GB2312" w:cs="仿宋_GB2312" w:eastAsia="仿宋_GB2312"/>
        </w:rPr>
        <w:t>详见附件：投标方案.pdf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详见附件：开标一览表.pdf</w:t>
      </w:r>
    </w:p>
    <w:p>
      <w:pPr>
        <w:pStyle w:val="null3"/>
        <w:ind w:firstLine="960"/>
      </w:pPr>
      <w:r>
        <w:rPr>
          <w:rFonts w:ascii="仿宋_GB2312" w:hAnsi="仿宋_GB2312" w:cs="仿宋_GB2312" w:eastAsia="仿宋_GB2312"/>
        </w:rPr>
        <w:t>详见附件：偏离表.pdf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