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8DD0B">
      <w:pPr>
        <w:pStyle w:val="6"/>
        <w:jc w:val="center"/>
        <w:outlineLvl w:val="1"/>
        <w:rPr>
          <w:rFonts w:hint="eastAsia" w:asciiTheme="minorEastAsia" w:hAnsiTheme="minorEastAsia" w:eastAsiaTheme="minorEastAsia" w:cstheme="minorEastAsia"/>
        </w:rPr>
      </w:pPr>
      <w:r>
        <w:rPr>
          <w:rFonts w:hint="eastAsia" w:asciiTheme="minorEastAsia" w:hAnsiTheme="minorEastAsia" w:eastAsiaTheme="minorEastAsia" w:cstheme="minorEastAsia"/>
          <w:b/>
          <w:sz w:val="36"/>
        </w:rPr>
        <w:t>拟签订采购合同文本</w:t>
      </w:r>
    </w:p>
    <w:p w14:paraId="5B43CA02">
      <w:pPr>
        <w:keepNext/>
        <w:spacing w:line="720" w:lineRule="exact"/>
        <w:jc w:val="center"/>
        <w:outlineLvl w:val="1"/>
        <w:rPr>
          <w:rFonts w:hint="eastAsia" w:asciiTheme="minorEastAsia" w:hAnsiTheme="minorEastAsia" w:eastAsiaTheme="minorEastAsia" w:cstheme="minorEastAsia"/>
          <w:b/>
          <w:sz w:val="32"/>
          <w:szCs w:val="32"/>
          <w:lang w:val="zh-CN"/>
        </w:rPr>
      </w:pPr>
      <w:r>
        <w:rPr>
          <w:rFonts w:hint="eastAsia" w:asciiTheme="minorEastAsia" w:hAnsiTheme="minorEastAsia" w:eastAsiaTheme="minorEastAsia" w:cstheme="minorEastAsia"/>
          <w:b/>
          <w:sz w:val="32"/>
          <w:szCs w:val="32"/>
          <w:lang w:val="zh-CN"/>
        </w:rPr>
        <w:t>合同草案条款</w:t>
      </w:r>
    </w:p>
    <w:p w14:paraId="514A1EE4">
      <w:pPr>
        <w:tabs>
          <w:tab w:val="left" w:pos="735"/>
        </w:tabs>
        <w:autoSpaceDE w:val="0"/>
        <w:autoSpaceDN w:val="0"/>
        <w:adjustRightInd w:val="0"/>
        <w:snapToGrid w:val="0"/>
        <w:spacing w:before="312" w:beforeLines="100" w:line="360" w:lineRule="auto"/>
        <w:ind w:firstLine="629"/>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甲方：</w:t>
      </w:r>
      <w:r>
        <w:rPr>
          <w:rFonts w:hint="eastAsia" w:asciiTheme="minorEastAsia" w:hAnsiTheme="minorEastAsia" w:eastAsiaTheme="minorEastAsia" w:cstheme="minorEastAsia"/>
          <w:bCs/>
          <w:sz w:val="20"/>
          <w:szCs w:val="20"/>
          <w:lang w:val="zh-CN"/>
        </w:rPr>
        <w:t>（前款所称采购人）         住所：</w:t>
      </w:r>
    </w:p>
    <w:p w14:paraId="63401F5A">
      <w:pPr>
        <w:tabs>
          <w:tab w:val="left" w:pos="735"/>
        </w:tabs>
        <w:autoSpaceDE w:val="0"/>
        <w:autoSpaceDN w:val="0"/>
        <w:adjustRightInd w:val="0"/>
        <w:snapToGrid w:val="0"/>
        <w:spacing w:line="360" w:lineRule="auto"/>
        <w:ind w:firstLine="631"/>
        <w:rPr>
          <w:rFonts w:hint="eastAsia" w:asciiTheme="minorEastAsia" w:hAnsiTheme="minorEastAsia" w:eastAsiaTheme="minorEastAsia" w:cstheme="minorEastAsia"/>
          <w:bCs/>
          <w:sz w:val="20"/>
          <w:szCs w:val="20"/>
          <w:lang w:val="zh-CN"/>
        </w:rPr>
      </w:pPr>
      <w:r>
        <w:rPr>
          <w:rFonts w:hint="eastAsia" w:asciiTheme="minorEastAsia" w:hAnsiTheme="minorEastAsia" w:eastAsiaTheme="minorEastAsia" w:cstheme="minorEastAsia"/>
          <w:b/>
          <w:bCs/>
          <w:sz w:val="20"/>
          <w:szCs w:val="20"/>
          <w:lang w:val="zh-CN"/>
        </w:rPr>
        <w:t>乙方：</w:t>
      </w:r>
      <w:r>
        <w:rPr>
          <w:rFonts w:hint="eastAsia" w:asciiTheme="minorEastAsia" w:hAnsiTheme="minorEastAsia" w:eastAsiaTheme="minorEastAsia" w:cstheme="minorEastAsia"/>
          <w:bCs/>
          <w:sz w:val="20"/>
          <w:szCs w:val="20"/>
          <w:lang w:val="zh-CN"/>
        </w:rPr>
        <w:t>（前款所称成交供应商）     住所：</w:t>
      </w:r>
    </w:p>
    <w:p w14:paraId="395DA722">
      <w:pPr>
        <w:adjustRightInd w:val="0"/>
        <w:snapToGrid w:val="0"/>
        <w:spacing w:line="360" w:lineRule="auto"/>
        <w:ind w:firstLine="400" w:firstLineChars="200"/>
        <w:rPr>
          <w:rFonts w:hint="eastAsia" w:asciiTheme="minorEastAsia" w:hAnsiTheme="minorEastAsia" w:eastAsiaTheme="minorEastAsia" w:cstheme="minorEastAsia"/>
          <w:sz w:val="20"/>
          <w:szCs w:val="20"/>
        </w:rPr>
      </w:pPr>
      <w:bookmarkStart w:id="0" w:name="_Toc19515384"/>
      <w:r>
        <w:rPr>
          <w:rFonts w:hint="eastAsia" w:asciiTheme="minorEastAsia" w:hAnsiTheme="minorEastAsia" w:eastAsiaTheme="minorEastAsia" w:cstheme="minorEastAsia"/>
          <w:sz w:val="20"/>
          <w:szCs w:val="20"/>
        </w:rPr>
        <w:t>一、合同内容（标的、数量、质量等）:</w:t>
      </w:r>
      <w:bookmarkEnd w:id="0"/>
    </w:p>
    <w:p w14:paraId="72B46372">
      <w:pPr>
        <w:adjustRightInd w:val="0"/>
        <w:snapToGrid w:val="0"/>
        <w:spacing w:line="360" w:lineRule="auto"/>
        <w:ind w:firstLine="400" w:firstLineChars="200"/>
        <w:rPr>
          <w:rFonts w:hint="eastAsia" w:asciiTheme="minorEastAsia" w:hAnsiTheme="minorEastAsia" w:eastAsiaTheme="minorEastAsia" w:cstheme="minorEastAsia"/>
          <w:sz w:val="20"/>
          <w:szCs w:val="20"/>
        </w:rPr>
      </w:pPr>
      <w:bookmarkStart w:id="1" w:name="_Toc19515385"/>
      <w:r>
        <w:rPr>
          <w:rFonts w:hint="eastAsia" w:asciiTheme="minorEastAsia" w:hAnsiTheme="minorEastAsia" w:eastAsiaTheme="minorEastAsia" w:cstheme="minorEastAsia"/>
          <w:sz w:val="20"/>
          <w:szCs w:val="20"/>
        </w:rPr>
        <w:t>二、合同价款</w:t>
      </w:r>
      <w:bookmarkEnd w:id="1"/>
    </w:p>
    <w:p w14:paraId="7471C053">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1、合同总价：</w:t>
      </w:r>
    </w:p>
    <w:p w14:paraId="379A1838">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2、合同总价包括：完成所有内容的全部费用。</w:t>
      </w:r>
    </w:p>
    <w:p w14:paraId="470D0349">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3、合同总价一次包死，不受市场价变化的影响。</w:t>
      </w:r>
    </w:p>
    <w:p w14:paraId="0321FD67">
      <w:pPr>
        <w:adjustRightInd w:val="0"/>
        <w:snapToGrid w:val="0"/>
        <w:spacing w:line="360" w:lineRule="auto"/>
        <w:ind w:firstLine="400" w:firstLineChars="200"/>
        <w:rPr>
          <w:rFonts w:hint="eastAsia" w:asciiTheme="minorEastAsia" w:hAnsiTheme="minorEastAsia" w:eastAsiaTheme="minorEastAsia" w:cstheme="minorEastAsia"/>
          <w:sz w:val="20"/>
          <w:szCs w:val="20"/>
        </w:rPr>
      </w:pPr>
      <w:bookmarkStart w:id="2" w:name="_Toc19515386"/>
      <w:r>
        <w:rPr>
          <w:rFonts w:hint="eastAsia" w:asciiTheme="minorEastAsia" w:hAnsiTheme="minorEastAsia" w:eastAsiaTheme="minorEastAsia" w:cstheme="minorEastAsia"/>
          <w:sz w:val="20"/>
          <w:szCs w:val="20"/>
        </w:rPr>
        <w:t>三、合同结算</w:t>
      </w:r>
      <w:bookmarkEnd w:id="2"/>
    </w:p>
    <w:p w14:paraId="4DA6A05F">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1、资金支付条件及时间：</w:t>
      </w:r>
    </w:p>
    <w:p w14:paraId="677302A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1-1、付款条件说明： 第一季度服务完成后 ，达到付款条件起 60 日内，支付合同总金额的 25.00%。</w:t>
      </w:r>
    </w:p>
    <w:p w14:paraId="55CBD3E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1-2、 付款条件说明： 第二季度服务完成后 ，达到付款条件起 60 日内，支付合同总金额的 25.00%。</w:t>
      </w:r>
    </w:p>
    <w:p w14:paraId="5E005233">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1-3、 付款条件说明： 第三季度服务完成后 ，达到付款条件起 60 日内，支付合同总金额的 25.00%。</w:t>
      </w:r>
    </w:p>
    <w:p w14:paraId="5CF983D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1-4、 付款条件说明： 第四季度服务完成后 ，达到付款条件起 60 日内，支付合同总金额的 25.00%。</w:t>
      </w:r>
    </w:p>
    <w:p w14:paraId="23A8EC77">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2、结算方式：银行转账。</w:t>
      </w:r>
    </w:p>
    <w:p w14:paraId="7F0BA274">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3、结算单位：由</w:t>
      </w:r>
      <w:r>
        <w:rPr>
          <w:rFonts w:hint="eastAsia" w:asciiTheme="minorEastAsia" w:hAnsiTheme="minorEastAsia" w:eastAsiaTheme="minorEastAsia" w:cstheme="minorEastAsia"/>
          <w:sz w:val="20"/>
          <w:szCs w:val="20"/>
          <w:u w:val="single"/>
        </w:rPr>
        <w:t xml:space="preserve">  采购人 </w:t>
      </w:r>
      <w:r>
        <w:rPr>
          <w:rFonts w:hint="eastAsia" w:asciiTheme="minorEastAsia" w:hAnsiTheme="minorEastAsia" w:eastAsiaTheme="minorEastAsia" w:cstheme="minorEastAsia"/>
          <w:sz w:val="20"/>
          <w:szCs w:val="20"/>
        </w:rPr>
        <w:t>负责结算，乙方根据支付比例金额开具发票交采购人。</w:t>
      </w:r>
    </w:p>
    <w:p w14:paraId="03A3F014">
      <w:pPr>
        <w:adjustRightInd w:val="0"/>
        <w:snapToGrid w:val="0"/>
        <w:spacing w:line="360" w:lineRule="auto"/>
        <w:ind w:firstLine="400" w:firstLineChars="200"/>
        <w:rPr>
          <w:rFonts w:hint="eastAsia" w:asciiTheme="minorEastAsia" w:hAnsiTheme="minorEastAsia" w:eastAsiaTheme="minorEastAsia" w:cstheme="minorEastAsia"/>
          <w:sz w:val="20"/>
          <w:szCs w:val="20"/>
        </w:rPr>
      </w:pPr>
      <w:bookmarkStart w:id="3" w:name="_Toc19515387"/>
      <w:r>
        <w:rPr>
          <w:rFonts w:hint="eastAsia" w:asciiTheme="minorEastAsia" w:hAnsiTheme="minorEastAsia" w:eastAsiaTheme="minorEastAsia" w:cstheme="minorEastAsia"/>
          <w:sz w:val="20"/>
          <w:szCs w:val="20"/>
        </w:rPr>
        <w:t>四、履行期限、地点及方式:</w:t>
      </w:r>
      <w:bookmarkEnd w:id="3"/>
    </w:p>
    <w:p w14:paraId="236C7CF5">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1、履行期限：</w:t>
      </w:r>
      <w:r>
        <w:rPr>
          <w:rFonts w:hint="eastAsia" w:asciiTheme="minorEastAsia" w:hAnsiTheme="minorEastAsia" w:eastAsiaTheme="minorEastAsia" w:cstheme="minorEastAsia"/>
          <w:kern w:val="0"/>
          <w:sz w:val="20"/>
          <w:szCs w:val="20"/>
        </w:rPr>
        <w:t>合同签订生效后一年</w:t>
      </w:r>
      <w:r>
        <w:rPr>
          <w:rFonts w:hint="eastAsia" w:asciiTheme="minorEastAsia" w:hAnsiTheme="minorEastAsia" w:eastAsiaTheme="minorEastAsia" w:cstheme="minorEastAsia"/>
          <w:sz w:val="20"/>
          <w:szCs w:val="20"/>
        </w:rPr>
        <w:t>。</w:t>
      </w:r>
    </w:p>
    <w:p w14:paraId="074D98DE">
      <w:pPr>
        <w:adjustRightInd w:val="0"/>
        <w:snapToGrid w:val="0"/>
        <w:spacing w:line="360" w:lineRule="auto"/>
        <w:ind w:firstLine="400" w:firstLineChars="200"/>
        <w:rPr>
          <w:rFonts w:hint="eastAsia" w:asciiTheme="minorEastAsia" w:hAnsiTheme="minorEastAsia" w:eastAsiaTheme="minorEastAsia" w:cstheme="minorEastAsia"/>
          <w:color w:val="FF0000"/>
          <w:sz w:val="20"/>
          <w:szCs w:val="20"/>
        </w:rPr>
      </w:pPr>
      <w:r>
        <w:rPr>
          <w:rFonts w:hint="eastAsia" w:asciiTheme="minorEastAsia" w:hAnsiTheme="minorEastAsia" w:eastAsiaTheme="minorEastAsia" w:cstheme="minorEastAsia"/>
          <w:sz w:val="20"/>
          <w:szCs w:val="20"/>
        </w:rPr>
        <w:t>2、地点：采购人指定地点。</w:t>
      </w:r>
    </w:p>
    <w:p w14:paraId="76CFE914">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3、方式：按照采购人指定方式。</w:t>
      </w:r>
    </w:p>
    <w:p w14:paraId="6F7DA908">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五</w:t>
      </w:r>
      <w:r>
        <w:rPr>
          <w:rFonts w:hint="eastAsia" w:asciiTheme="minorEastAsia" w:hAnsiTheme="minorEastAsia" w:eastAsiaTheme="minorEastAsia" w:cstheme="minorEastAsia"/>
          <w:sz w:val="20"/>
          <w:szCs w:val="20"/>
        </w:rPr>
        <w:t>、甲方权利和义务</w:t>
      </w:r>
    </w:p>
    <w:p w14:paraId="5BEC6B3C">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1、甲方有权对合同规定范围内乙方的货物、服务、工程行为进行监督和检查，拥有监管权。甲方对不合理的部分有权下达整改通知书，并要求乙方限期整改。</w:t>
      </w:r>
    </w:p>
    <w:p w14:paraId="2D266DCF">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2、负责检查监督乙方管理工作的实施及制度的执行情况。</w:t>
      </w:r>
    </w:p>
    <w:p w14:paraId="7647013C">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3、根据本合同规定，按时向乙方支付应付费用。</w:t>
      </w:r>
    </w:p>
    <w:p w14:paraId="7C28936D">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4、国家法律、法规所规定由甲方承担的其它责任。</w:t>
      </w:r>
    </w:p>
    <w:p w14:paraId="4BEE5E2F">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六</w:t>
      </w:r>
      <w:r>
        <w:rPr>
          <w:rFonts w:hint="eastAsia" w:asciiTheme="minorEastAsia" w:hAnsiTheme="minorEastAsia" w:eastAsiaTheme="minorEastAsia" w:cstheme="minorEastAsia"/>
          <w:sz w:val="20"/>
          <w:szCs w:val="20"/>
        </w:rPr>
        <w:t>、乙方的权利和义务</w:t>
      </w:r>
    </w:p>
    <w:p w14:paraId="1EE27027">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1、对本合同规定的范围内的享有管理权及服务义务。</w:t>
      </w:r>
    </w:p>
    <w:p w14:paraId="5FE7C06E">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2、及时向甲方通告本项目执行范围内有关的重大事项，及时处理出现的问题。</w:t>
      </w:r>
    </w:p>
    <w:p w14:paraId="6AF8C431">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3、接受项目行业管理部门及政府有关部门的监督指导，接受甲方的监督。</w:t>
      </w:r>
    </w:p>
    <w:p w14:paraId="26AD6B4A">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4、国家法律、法规所规定由乙方承担的其它责任。</w:t>
      </w:r>
    </w:p>
    <w:p w14:paraId="4AEE85C7">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七</w:t>
      </w:r>
      <w:r>
        <w:rPr>
          <w:rFonts w:hint="eastAsia" w:asciiTheme="minorEastAsia" w:hAnsiTheme="minorEastAsia" w:eastAsiaTheme="minorEastAsia" w:cstheme="minorEastAsia"/>
          <w:sz w:val="20"/>
          <w:szCs w:val="20"/>
        </w:rPr>
        <w:t>、甲方的责任</w:t>
      </w:r>
    </w:p>
    <w:p w14:paraId="2EBC90E3">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1、甲方应当履行协议约定的义务，如有违反则应当承担违约责任，赔偿给乙方造成的损失。</w:t>
      </w:r>
    </w:p>
    <w:p w14:paraId="0946803D">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2、甲方如果向乙方提出赔偿或其他要求不能成立时，则应补偿由于该赔偿或其他要求所导致乙方的各种费用的支出。</w:t>
      </w:r>
    </w:p>
    <w:p w14:paraId="1A3F41E1">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八</w:t>
      </w:r>
      <w:r>
        <w:rPr>
          <w:rFonts w:hint="eastAsia" w:asciiTheme="minorEastAsia" w:hAnsiTheme="minorEastAsia" w:eastAsiaTheme="minorEastAsia" w:cstheme="minorEastAsia"/>
          <w:sz w:val="20"/>
          <w:szCs w:val="20"/>
        </w:rPr>
        <w:t>、乙方的责任</w:t>
      </w:r>
    </w:p>
    <w:p w14:paraId="29B235CF">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1、乙方在业务委托合同有效期内，如因非乙方的责任造成进度的推迟或延误而超过约定的日期，双方应进一步约定相应延长合同有效期。</w:t>
      </w:r>
    </w:p>
    <w:p w14:paraId="7E3FA7FC">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2、乙方责任期即聘用协议有效期内，应当履行协议中约定的义务，因乙方的单方过失造成的经济损失，应当向甲方进行赔偿。</w:t>
      </w:r>
    </w:p>
    <w:p w14:paraId="147EEA03">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3、乙方对甲方所提出的问题不能及时核对或答复，导致合同不能全部或部分履行，乙方应承担责任。</w:t>
      </w:r>
    </w:p>
    <w:p w14:paraId="2E7E8A9C">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4、乙方向甲方提出赔偿要求不能成立时，则应补偿由于该赔偿或其他要求所导致甲方的各种费用的支出。</w:t>
      </w:r>
      <w:bookmarkStart w:id="4" w:name="_Toc19515392"/>
    </w:p>
    <w:p w14:paraId="61623538">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九</w:t>
      </w:r>
      <w:r>
        <w:rPr>
          <w:rFonts w:hint="eastAsia" w:asciiTheme="minorEastAsia" w:hAnsiTheme="minorEastAsia" w:eastAsiaTheme="minorEastAsia" w:cstheme="minorEastAsia"/>
          <w:sz w:val="20"/>
          <w:szCs w:val="20"/>
        </w:rPr>
        <w:t>、违约责任</w:t>
      </w:r>
      <w:bookmarkEnd w:id="4"/>
    </w:p>
    <w:p w14:paraId="63699F7C">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1、按《中华人民共和国民法典》中的相关条款执行。</w:t>
      </w:r>
    </w:p>
    <w:p w14:paraId="45F5678B">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2、乙方履约延误</w:t>
      </w:r>
    </w:p>
    <w:p w14:paraId="63004CDE">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2-1、如乙方事先未征得甲方同意并得到甲方的谅解而单方面延迟执行合同，将按违约终止合同。</w:t>
      </w:r>
    </w:p>
    <w:p w14:paraId="3BF93A75">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9B0CB8E">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3、违约终止合同：未按合同要求提供服务或不能满足技术要求，甲方会同监督机构有权终止合同，对乙方违约行为进行追究，同时按政府采购法的有关规定进行相应的处罚。</w:t>
      </w:r>
    </w:p>
    <w:p w14:paraId="03040DA8">
      <w:pPr>
        <w:adjustRightInd w:val="0"/>
        <w:snapToGrid w:val="0"/>
        <w:spacing w:line="360" w:lineRule="auto"/>
        <w:ind w:firstLine="400" w:firstLineChars="200"/>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rPr>
        <w:t>十、</w:t>
      </w:r>
      <w:r>
        <w:rPr>
          <w:rFonts w:hint="eastAsia" w:asciiTheme="minorEastAsia" w:hAnsiTheme="minorEastAsia" w:eastAsiaTheme="minorEastAsia" w:cstheme="minorEastAsia"/>
          <w:sz w:val="20"/>
          <w:szCs w:val="20"/>
          <w:lang w:val="zh-CN"/>
        </w:rPr>
        <w:t>验收方式</w:t>
      </w:r>
    </w:p>
    <w:p w14:paraId="0203F954">
      <w:pPr>
        <w:adjustRightInd w:val="0"/>
        <w:snapToGrid w:val="0"/>
        <w:spacing w:line="360" w:lineRule="auto"/>
        <w:ind w:firstLine="400" w:firstLineChars="200"/>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1、乙方为甲方提供的服务质量符合国家及行业相关部门规定的验收合格标准。</w:t>
      </w:r>
    </w:p>
    <w:p w14:paraId="4E01CADD">
      <w:pPr>
        <w:adjustRightInd w:val="0"/>
        <w:snapToGrid w:val="0"/>
        <w:spacing w:line="360" w:lineRule="auto"/>
        <w:ind w:firstLine="400" w:firstLineChars="200"/>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2、乙方完成服务后应及时通知甲方进行验收。验收合格的，甲方在验收合格单上签字；验收不合格的，乙方应当在15日内进行返工或调整，并重新提交甲方验收。</w:t>
      </w:r>
    </w:p>
    <w:p w14:paraId="7A2D1CF3">
      <w:pPr>
        <w:adjustRightInd w:val="0"/>
        <w:snapToGrid w:val="0"/>
        <w:spacing w:line="360" w:lineRule="auto"/>
        <w:ind w:firstLine="400" w:firstLineChars="200"/>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3、验收依据：</w:t>
      </w:r>
    </w:p>
    <w:p w14:paraId="55093FD4">
      <w:pPr>
        <w:adjustRightInd w:val="0"/>
        <w:snapToGrid w:val="0"/>
        <w:spacing w:line="360" w:lineRule="auto"/>
        <w:ind w:firstLine="400" w:firstLineChars="200"/>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3-1、合同文本、合同附件、磋商文件、响应文件。</w:t>
      </w:r>
    </w:p>
    <w:p w14:paraId="033CA66E">
      <w:pPr>
        <w:adjustRightInd w:val="0"/>
        <w:snapToGrid w:val="0"/>
        <w:spacing w:line="360" w:lineRule="auto"/>
        <w:ind w:firstLine="400" w:firstLineChars="200"/>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3-2、国</w:t>
      </w:r>
      <w:r>
        <w:rPr>
          <w:rFonts w:hint="eastAsia" w:asciiTheme="minorEastAsia" w:hAnsiTheme="minorEastAsia" w:eastAsiaTheme="minorEastAsia" w:cstheme="minorEastAsia"/>
          <w:sz w:val="20"/>
          <w:szCs w:val="20"/>
          <w:lang w:val="zh-CN"/>
        </w:rPr>
        <w:t>家</w:t>
      </w:r>
      <w:r>
        <w:rPr>
          <w:rFonts w:hint="eastAsia" w:asciiTheme="minorEastAsia" w:hAnsiTheme="minorEastAsia" w:eastAsiaTheme="minorEastAsia" w:cstheme="minorEastAsia"/>
          <w:sz w:val="20"/>
          <w:szCs w:val="20"/>
          <w:lang w:val="en-US" w:eastAsia="zh-CN"/>
        </w:rPr>
        <w:t>相应及</w:t>
      </w:r>
      <w:r>
        <w:rPr>
          <w:rFonts w:hint="eastAsia" w:asciiTheme="minorEastAsia" w:hAnsiTheme="minorEastAsia" w:eastAsiaTheme="minorEastAsia" w:cstheme="minorEastAsia"/>
          <w:sz w:val="20"/>
          <w:szCs w:val="20"/>
          <w:lang w:val="zh-CN"/>
        </w:rPr>
        <w:t>行业相关部门规定</w:t>
      </w:r>
      <w:r>
        <w:rPr>
          <w:rFonts w:hint="eastAsia" w:asciiTheme="minorEastAsia" w:hAnsiTheme="minorEastAsia" w:eastAsiaTheme="minorEastAsia" w:cstheme="minorEastAsia"/>
          <w:sz w:val="20"/>
          <w:szCs w:val="20"/>
          <w:lang w:val="en-US" w:eastAsia="zh-CN"/>
        </w:rPr>
        <w:t>的标准、规范。</w:t>
      </w:r>
    </w:p>
    <w:p w14:paraId="28E0636C">
      <w:pPr>
        <w:pStyle w:val="2"/>
        <w:rPr>
          <w:rFonts w:hint="eastAsia" w:asciiTheme="minorEastAsia" w:hAnsiTheme="minorEastAsia" w:eastAsiaTheme="minorEastAsia" w:cstheme="minorEastAsia"/>
        </w:rPr>
      </w:pPr>
    </w:p>
    <w:p w14:paraId="14E1BE11">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十</w:t>
      </w:r>
      <w:r>
        <w:rPr>
          <w:rFonts w:hint="eastAsia" w:asciiTheme="minorEastAsia" w:hAnsiTheme="minorEastAsia" w:eastAsiaTheme="minorEastAsia" w:cstheme="minorEastAsia"/>
          <w:sz w:val="20"/>
          <w:szCs w:val="20"/>
          <w:lang w:val="en-US" w:eastAsia="zh-CN"/>
        </w:rPr>
        <w:t>一</w:t>
      </w:r>
      <w:r>
        <w:rPr>
          <w:rFonts w:hint="eastAsia" w:asciiTheme="minorEastAsia" w:hAnsiTheme="minorEastAsia" w:eastAsiaTheme="minorEastAsia" w:cstheme="minorEastAsia"/>
          <w:sz w:val="20"/>
          <w:szCs w:val="20"/>
        </w:rPr>
        <w:t>、不可抗力事件处理</w:t>
      </w:r>
    </w:p>
    <w:p w14:paraId="1D0FD721">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若双方任何一方由于受诸如战争、严重火灾、洪水、台风、地震等不可抗力事故的影响而不能执行合同时，履约合同的期限应予以延长，延长的期限应相当于事故所影响的时间。不可抗力事故系指在缔结合同时所不能预见的，并且它的发生及其后果是无法避免和无法克服的事故。受阻一方应在不可抗力事故发生后立即通知对方，并于事故发生后叁天内将事故发生地有关组织出具的事故证明文件用特快专递寄给对方审阅确认。因不可抗力原因导致合同履行期过长，无法满足甲方服务需求的或无法实现甲方合同目的、影响甲方正常运营，甲方有权解除合同，双方不必承担违约责任。</w:t>
      </w:r>
      <w:bookmarkStart w:id="5" w:name="_Toc19515393"/>
    </w:p>
    <w:p w14:paraId="19BCCC59">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十</w:t>
      </w:r>
      <w:r>
        <w:rPr>
          <w:rFonts w:hint="eastAsia" w:asciiTheme="minorEastAsia" w:hAnsiTheme="minorEastAsia" w:eastAsiaTheme="minorEastAsia" w:cstheme="minorEastAsia"/>
          <w:sz w:val="20"/>
          <w:szCs w:val="20"/>
          <w:lang w:val="en-US" w:eastAsia="zh-CN"/>
        </w:rPr>
        <w:t>二</w:t>
      </w:r>
      <w:r>
        <w:rPr>
          <w:rFonts w:hint="eastAsia" w:asciiTheme="minorEastAsia" w:hAnsiTheme="minorEastAsia" w:eastAsiaTheme="minorEastAsia" w:cstheme="minorEastAsia"/>
          <w:sz w:val="20"/>
          <w:szCs w:val="20"/>
        </w:rPr>
        <w:t>、合同组成</w:t>
      </w:r>
      <w:bookmarkEnd w:id="5"/>
    </w:p>
    <w:p w14:paraId="7E3DE090">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1、成交通知书</w:t>
      </w:r>
    </w:p>
    <w:p w14:paraId="2770BD9F">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2、合同文件</w:t>
      </w:r>
    </w:p>
    <w:p w14:paraId="538A1E2C">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3、国家相关规范及标准</w:t>
      </w:r>
    </w:p>
    <w:p w14:paraId="364264A1">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4、竞争性磋商文件</w:t>
      </w:r>
    </w:p>
    <w:p w14:paraId="03E30095">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5、磋商响应文件</w:t>
      </w:r>
    </w:p>
    <w:p w14:paraId="75416620">
      <w:pPr>
        <w:adjustRightInd w:val="0"/>
        <w:snapToGrid w:val="0"/>
        <w:spacing w:line="360" w:lineRule="auto"/>
        <w:ind w:firstLine="400" w:firstLineChars="200"/>
        <w:rPr>
          <w:rFonts w:hint="eastAsia" w:asciiTheme="minorEastAsia" w:hAnsiTheme="minorEastAsia" w:eastAsiaTheme="minorEastAsia" w:cstheme="minorEastAsia"/>
          <w:sz w:val="20"/>
          <w:szCs w:val="20"/>
        </w:rPr>
      </w:pPr>
      <w:bookmarkStart w:id="6" w:name="_Toc19515394"/>
      <w:r>
        <w:rPr>
          <w:rFonts w:hint="eastAsia" w:asciiTheme="minorEastAsia" w:hAnsiTheme="minorEastAsia" w:eastAsiaTheme="minorEastAsia" w:cstheme="minorEastAsia"/>
          <w:sz w:val="20"/>
          <w:szCs w:val="20"/>
        </w:rPr>
        <w:t>十</w:t>
      </w:r>
      <w:r>
        <w:rPr>
          <w:rFonts w:hint="eastAsia" w:asciiTheme="minorEastAsia" w:hAnsiTheme="minorEastAsia" w:eastAsiaTheme="minorEastAsia" w:cstheme="minorEastAsia"/>
          <w:sz w:val="20"/>
          <w:szCs w:val="20"/>
          <w:lang w:val="en-US" w:eastAsia="zh-CN"/>
        </w:rPr>
        <w:t>三</w:t>
      </w:r>
      <w:r>
        <w:rPr>
          <w:rFonts w:hint="eastAsia" w:asciiTheme="minorEastAsia" w:hAnsiTheme="minorEastAsia" w:eastAsiaTheme="minorEastAsia" w:cstheme="minorEastAsia"/>
          <w:sz w:val="20"/>
          <w:szCs w:val="20"/>
        </w:rPr>
        <w:t>、解决争议的方法</w:t>
      </w:r>
      <w:bookmarkEnd w:id="6"/>
    </w:p>
    <w:p w14:paraId="59DAC5CD">
      <w:pPr>
        <w:widowControl/>
        <w:autoSpaceDE w:val="0"/>
        <w:autoSpaceDN w:val="0"/>
        <w:snapToGrid w:val="0"/>
        <w:spacing w:line="360" w:lineRule="auto"/>
        <w:ind w:right="-110" w:firstLine="400" w:firstLineChars="200"/>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凡因本合同引起的或与本合同有关的争议，双方应友好协商解决。协商不成时，双方均同意采用以下第（  ）种争议解决方式：</w:t>
      </w:r>
    </w:p>
    <w:p w14:paraId="2BA090E3">
      <w:pPr>
        <w:widowControl/>
        <w:autoSpaceDE w:val="0"/>
        <w:autoSpaceDN w:val="0"/>
        <w:snapToGrid w:val="0"/>
        <w:spacing w:line="360" w:lineRule="auto"/>
        <w:ind w:right="-110" w:firstLine="400" w:firstLineChars="200"/>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（1）甲、乙双方均同意向（甲方所在地人民法院）提起诉讼。</w:t>
      </w:r>
    </w:p>
    <w:p w14:paraId="36C98E9E">
      <w:pPr>
        <w:widowControl/>
        <w:autoSpaceDE w:val="0"/>
        <w:autoSpaceDN w:val="0"/>
        <w:snapToGrid w:val="0"/>
        <w:spacing w:line="360" w:lineRule="auto"/>
        <w:ind w:right="-110" w:firstLine="400" w:firstLineChars="200"/>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（2）甲、乙双方均同意向（</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"http://www.baidu.com/s?wd=%E4%BB%B2%E8%A3%81%E5%A7%94%E5%91%98%E4%BC%9A&amp;tn=SE_PcZhidaonwhc_ngpagmjz&amp;rsv_dl=gh_pc_zhidao" \t "_blank"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kern w:val="0"/>
          <w:sz w:val="20"/>
          <w:szCs w:val="20"/>
        </w:rPr>
        <w:t>仲裁委员会</w:t>
      </w:r>
      <w:r>
        <w:rPr>
          <w:rFonts w:hint="eastAsia" w:asciiTheme="minorEastAsia" w:hAnsiTheme="minorEastAsia" w:eastAsiaTheme="minorEastAsia" w:cstheme="minorEastAsia"/>
          <w:kern w:val="0"/>
          <w:sz w:val="20"/>
          <w:szCs w:val="20"/>
        </w:rPr>
        <w:fldChar w:fldCharType="end"/>
      </w:r>
      <w:r>
        <w:rPr>
          <w:rFonts w:hint="eastAsia" w:asciiTheme="minorEastAsia" w:hAnsiTheme="minorEastAsia" w:eastAsiaTheme="minorEastAsia" w:cstheme="minorEastAsia"/>
          <w:kern w:val="0"/>
          <w:sz w:val="20"/>
          <w:szCs w:val="20"/>
        </w:rPr>
        <w:t>）提起仲裁。</w:t>
      </w:r>
    </w:p>
    <w:p w14:paraId="03610EA9">
      <w:pPr>
        <w:adjustRightInd w:val="0"/>
        <w:snapToGrid w:val="0"/>
        <w:spacing w:line="360" w:lineRule="auto"/>
        <w:ind w:firstLine="400" w:firstLineChars="200"/>
        <w:rPr>
          <w:rFonts w:hint="eastAsia" w:asciiTheme="minorEastAsia" w:hAnsiTheme="minorEastAsia" w:eastAsiaTheme="minorEastAsia" w:cstheme="minorEastAsia"/>
          <w:sz w:val="20"/>
          <w:szCs w:val="20"/>
        </w:rPr>
      </w:pPr>
      <w:bookmarkStart w:id="7" w:name="_Toc19515395"/>
      <w:r>
        <w:rPr>
          <w:rFonts w:hint="eastAsia" w:asciiTheme="minorEastAsia" w:hAnsiTheme="minorEastAsia" w:eastAsiaTheme="minorEastAsia" w:cstheme="minorEastAsia"/>
          <w:sz w:val="20"/>
          <w:szCs w:val="20"/>
        </w:rPr>
        <w:t>十</w:t>
      </w:r>
      <w:r>
        <w:rPr>
          <w:rFonts w:hint="eastAsia" w:asciiTheme="minorEastAsia" w:hAnsiTheme="minorEastAsia" w:eastAsiaTheme="minorEastAsia" w:cstheme="minorEastAsia"/>
          <w:sz w:val="20"/>
          <w:szCs w:val="20"/>
          <w:lang w:val="en-US" w:eastAsia="zh-CN"/>
        </w:rPr>
        <w:t>四</w:t>
      </w:r>
      <w:r>
        <w:rPr>
          <w:rFonts w:hint="eastAsia" w:asciiTheme="minorEastAsia" w:hAnsiTheme="minorEastAsia" w:eastAsiaTheme="minorEastAsia" w:cstheme="minorEastAsia"/>
          <w:sz w:val="20"/>
          <w:szCs w:val="20"/>
        </w:rPr>
        <w:t>、合同生效及其它</w:t>
      </w:r>
      <w:bookmarkEnd w:id="7"/>
    </w:p>
    <w:p w14:paraId="4804DB67">
      <w:pPr>
        <w:widowControl/>
        <w:autoSpaceDE w:val="0"/>
        <w:autoSpaceDN w:val="0"/>
        <w:snapToGrid w:val="0"/>
        <w:spacing w:line="360" w:lineRule="auto"/>
        <w:ind w:right="-110" w:firstLine="400" w:firstLineChars="200"/>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1、合同未尽事宜、由甲、乙双方协商，作为合同补充，与原合同具有同等法律效力。</w:t>
      </w:r>
    </w:p>
    <w:p w14:paraId="464EB33E">
      <w:pPr>
        <w:widowControl/>
        <w:tabs>
          <w:tab w:val="left" w:pos="8391"/>
        </w:tabs>
        <w:autoSpaceDE w:val="0"/>
        <w:autoSpaceDN w:val="0"/>
        <w:snapToGrid w:val="0"/>
        <w:spacing w:line="360" w:lineRule="auto"/>
        <w:ind w:right="-69" w:firstLine="400" w:firstLineChars="200"/>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2、 本合同一式</w:t>
      </w:r>
      <w:r>
        <w:rPr>
          <w:rFonts w:hint="eastAsia" w:asciiTheme="minorEastAsia" w:hAnsiTheme="minorEastAsia" w:eastAsiaTheme="minorEastAsia" w:cstheme="minorEastAsia"/>
          <w:kern w:val="0"/>
          <w:sz w:val="20"/>
          <w:szCs w:val="20"/>
          <w:u w:val="single"/>
        </w:rPr>
        <w:t xml:space="preserve">  </w:t>
      </w:r>
      <w:r>
        <w:rPr>
          <w:rFonts w:hint="eastAsia" w:asciiTheme="minorEastAsia" w:hAnsiTheme="minorEastAsia" w:eastAsiaTheme="minorEastAsia" w:cstheme="minorEastAsia"/>
          <w:kern w:val="0"/>
          <w:sz w:val="20"/>
          <w:szCs w:val="20"/>
        </w:rPr>
        <w:t>份，甲方、乙方双方分别执</w:t>
      </w:r>
      <w:r>
        <w:rPr>
          <w:rFonts w:hint="eastAsia" w:asciiTheme="minorEastAsia" w:hAnsiTheme="minorEastAsia" w:eastAsiaTheme="minorEastAsia" w:cstheme="minorEastAsia"/>
          <w:kern w:val="0"/>
          <w:sz w:val="20"/>
          <w:szCs w:val="20"/>
          <w:u w:val="single"/>
        </w:rPr>
        <w:t xml:space="preserve">  </w:t>
      </w:r>
      <w:r>
        <w:rPr>
          <w:rFonts w:hint="eastAsia" w:asciiTheme="minorEastAsia" w:hAnsiTheme="minorEastAsia" w:eastAsiaTheme="minorEastAsia" w:cstheme="minorEastAsia"/>
          <w:kern w:val="0"/>
          <w:sz w:val="20"/>
          <w:szCs w:val="20"/>
        </w:rPr>
        <w:t>份，</w:t>
      </w:r>
      <w:r>
        <w:rPr>
          <w:rFonts w:hint="eastAsia" w:asciiTheme="minorEastAsia" w:hAnsiTheme="minorEastAsia" w:eastAsiaTheme="minorEastAsia" w:cstheme="minorEastAsia"/>
          <w:kern w:val="0"/>
          <w:sz w:val="20"/>
          <w:szCs w:val="20"/>
          <w:u w:val="single"/>
        </w:rPr>
        <w:t xml:space="preserve">   </w:t>
      </w:r>
      <w:r>
        <w:rPr>
          <w:rFonts w:hint="eastAsia" w:asciiTheme="minorEastAsia" w:hAnsiTheme="minorEastAsia" w:eastAsiaTheme="minorEastAsia" w:cstheme="minorEastAsia"/>
          <w:kern w:val="0"/>
          <w:sz w:val="20"/>
          <w:szCs w:val="20"/>
        </w:rPr>
        <w:t>备案</w:t>
      </w:r>
      <w:r>
        <w:rPr>
          <w:rFonts w:hint="eastAsia" w:asciiTheme="minorEastAsia" w:hAnsiTheme="minorEastAsia" w:eastAsiaTheme="minorEastAsia" w:cstheme="minorEastAsia"/>
          <w:kern w:val="0"/>
          <w:sz w:val="20"/>
          <w:szCs w:val="20"/>
          <w:u w:val="single"/>
        </w:rPr>
        <w:t xml:space="preserve">  </w:t>
      </w:r>
      <w:r>
        <w:rPr>
          <w:rFonts w:hint="eastAsia" w:asciiTheme="minorEastAsia" w:hAnsiTheme="minorEastAsia" w:eastAsiaTheme="minorEastAsia" w:cstheme="minorEastAsia"/>
          <w:kern w:val="0"/>
          <w:sz w:val="20"/>
          <w:szCs w:val="20"/>
        </w:rPr>
        <w:t>份。</w:t>
      </w:r>
    </w:p>
    <w:p w14:paraId="43229060">
      <w:pPr>
        <w:widowControl/>
        <w:tabs>
          <w:tab w:val="left" w:pos="8391"/>
        </w:tabs>
        <w:autoSpaceDE w:val="0"/>
        <w:autoSpaceDN w:val="0"/>
        <w:snapToGrid w:val="0"/>
        <w:spacing w:line="360" w:lineRule="auto"/>
        <w:ind w:right="-69" w:firstLine="400" w:firstLineChars="200"/>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3、合同经甲乙双方盖章、签字后生效，合同签订地点为</w:t>
      </w:r>
      <w:r>
        <w:rPr>
          <w:rFonts w:hint="eastAsia" w:asciiTheme="minorEastAsia" w:hAnsiTheme="minorEastAsia" w:eastAsiaTheme="minorEastAsia" w:cstheme="minorEastAsia"/>
          <w:kern w:val="0"/>
          <w:sz w:val="20"/>
          <w:szCs w:val="20"/>
          <w:u w:val="single"/>
        </w:rPr>
        <w:t xml:space="preserve">   </w:t>
      </w:r>
      <w:r>
        <w:rPr>
          <w:rFonts w:hint="eastAsia" w:asciiTheme="minorEastAsia" w:hAnsiTheme="minorEastAsia" w:eastAsiaTheme="minorEastAsia" w:cstheme="minorEastAsia"/>
          <w:kern w:val="0"/>
          <w:sz w:val="20"/>
          <w:szCs w:val="20"/>
        </w:rPr>
        <w:t>。</w:t>
      </w:r>
    </w:p>
    <w:p w14:paraId="07CA5A1A">
      <w:pPr>
        <w:widowControl/>
        <w:tabs>
          <w:tab w:val="left" w:pos="8391"/>
        </w:tabs>
        <w:autoSpaceDE w:val="0"/>
        <w:autoSpaceDN w:val="0"/>
        <w:snapToGrid w:val="0"/>
        <w:spacing w:line="360" w:lineRule="auto"/>
        <w:ind w:right="-69" w:firstLine="400" w:firstLineChars="200"/>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4、生效时间：   年  月  日</w:t>
      </w:r>
    </w:p>
    <w:p w14:paraId="20738781">
      <w:pPr>
        <w:widowControl/>
        <w:tabs>
          <w:tab w:val="left" w:pos="8391"/>
        </w:tabs>
        <w:autoSpaceDE w:val="0"/>
        <w:autoSpaceDN w:val="0"/>
        <w:snapToGrid w:val="0"/>
        <w:spacing w:line="360" w:lineRule="auto"/>
        <w:ind w:right="-69" w:firstLine="700" w:firstLineChars="350"/>
        <w:textAlignment w:val="bottom"/>
        <w:rPr>
          <w:rFonts w:hint="eastAsia" w:asciiTheme="minorEastAsia" w:hAnsiTheme="minorEastAsia" w:eastAsiaTheme="minorEastAsia" w:cstheme="minorEastAsia"/>
          <w:kern w:val="0"/>
          <w:sz w:val="20"/>
          <w:szCs w:val="20"/>
        </w:rPr>
      </w:pPr>
    </w:p>
    <w:tbl>
      <w:tblPr>
        <w:tblStyle w:val="4"/>
        <w:tblW w:w="0" w:type="auto"/>
        <w:jc w:val="center"/>
        <w:tblLayout w:type="fixed"/>
        <w:tblCellMar>
          <w:top w:w="0" w:type="dxa"/>
          <w:left w:w="108" w:type="dxa"/>
          <w:bottom w:w="0" w:type="dxa"/>
          <w:right w:w="108" w:type="dxa"/>
        </w:tblCellMar>
      </w:tblPr>
      <w:tblGrid>
        <w:gridCol w:w="4643"/>
        <w:gridCol w:w="4643"/>
      </w:tblGrid>
      <w:tr w14:paraId="26D718B8">
        <w:trPr>
          <w:jc w:val="center"/>
        </w:trPr>
        <w:tc>
          <w:tcPr>
            <w:tcW w:w="4643" w:type="dxa"/>
          </w:tcPr>
          <w:p w14:paraId="29376361">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甲方名称</w:t>
            </w:r>
            <w:r>
              <w:rPr>
                <w:rFonts w:hint="eastAsia" w:asciiTheme="minorEastAsia" w:hAnsiTheme="minorEastAsia" w:eastAsiaTheme="minorEastAsia" w:cstheme="minorEastAsia"/>
                <w:spacing w:val="-20"/>
                <w:kern w:val="0"/>
                <w:sz w:val="20"/>
                <w:szCs w:val="20"/>
              </w:rPr>
              <w:t>（盖章）</w:t>
            </w:r>
            <w:r>
              <w:rPr>
                <w:rFonts w:hint="eastAsia" w:asciiTheme="minorEastAsia" w:hAnsiTheme="minorEastAsia" w:eastAsiaTheme="minorEastAsia" w:cstheme="minorEastAsia"/>
                <w:kern w:val="0"/>
                <w:sz w:val="20"/>
                <w:szCs w:val="20"/>
              </w:rPr>
              <w:t>:</w:t>
            </w:r>
          </w:p>
          <w:p w14:paraId="622ED41F">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地址：</w:t>
            </w:r>
          </w:p>
          <w:p w14:paraId="6BE01AE5">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代表人（签字）：</w:t>
            </w:r>
          </w:p>
          <w:p w14:paraId="6C725EC1">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电话：</w:t>
            </w:r>
          </w:p>
          <w:p w14:paraId="334476FA">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开户银行：</w:t>
            </w:r>
          </w:p>
          <w:p w14:paraId="0A1B56FE">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账</w:t>
            </w:r>
            <w:r>
              <w:rPr>
                <w:rFonts w:hint="eastAsia" w:asciiTheme="minorEastAsia" w:hAnsiTheme="minorEastAsia" w:eastAsiaTheme="minorEastAsia" w:cstheme="minorEastAsia"/>
                <w:kern w:val="0"/>
                <w:sz w:val="20"/>
                <w:szCs w:val="20"/>
              </w:rPr>
              <w:t>号：</w:t>
            </w:r>
          </w:p>
        </w:tc>
        <w:tc>
          <w:tcPr>
            <w:tcW w:w="4643" w:type="dxa"/>
          </w:tcPr>
          <w:p w14:paraId="536CAE5C">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乙方名称</w:t>
            </w:r>
            <w:r>
              <w:rPr>
                <w:rFonts w:hint="eastAsia" w:asciiTheme="minorEastAsia" w:hAnsiTheme="minorEastAsia" w:eastAsiaTheme="minorEastAsia" w:cstheme="minorEastAsia"/>
                <w:spacing w:val="-20"/>
                <w:kern w:val="0"/>
                <w:sz w:val="20"/>
                <w:szCs w:val="20"/>
              </w:rPr>
              <w:t>（盖章）</w:t>
            </w:r>
            <w:r>
              <w:rPr>
                <w:rFonts w:hint="eastAsia" w:asciiTheme="minorEastAsia" w:hAnsiTheme="minorEastAsia" w:eastAsiaTheme="minorEastAsia" w:cstheme="minorEastAsia"/>
                <w:kern w:val="0"/>
                <w:sz w:val="20"/>
                <w:szCs w:val="20"/>
              </w:rPr>
              <w:t>:</w:t>
            </w:r>
          </w:p>
          <w:p w14:paraId="168276DE">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地址：</w:t>
            </w:r>
          </w:p>
          <w:p w14:paraId="2302F1D5">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代表人（签字）：</w:t>
            </w:r>
          </w:p>
          <w:p w14:paraId="1C78BD44">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电话：</w:t>
            </w:r>
          </w:p>
          <w:p w14:paraId="57C2875E">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开户银行：</w:t>
            </w:r>
          </w:p>
          <w:p w14:paraId="6D7424DC">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lang w:val="en-US" w:eastAsia="zh-CN"/>
              </w:rPr>
              <w:t>账</w:t>
            </w:r>
            <w:r>
              <w:rPr>
                <w:rFonts w:hint="eastAsia" w:asciiTheme="minorEastAsia" w:hAnsiTheme="minorEastAsia" w:eastAsiaTheme="minorEastAsia" w:cstheme="minorEastAsia"/>
                <w:kern w:val="0"/>
                <w:sz w:val="20"/>
                <w:szCs w:val="20"/>
              </w:rPr>
              <w:t>号：</w:t>
            </w:r>
          </w:p>
        </w:tc>
      </w:tr>
    </w:tbl>
    <w:p w14:paraId="0A2A1C08">
      <w:pPr>
        <w:rPr>
          <w:rFonts w:hint="eastAsia" w:asciiTheme="minorEastAsia" w:hAnsiTheme="minorEastAsia" w:eastAsiaTheme="minorEastAsia" w:cstheme="minorEastAsia"/>
        </w:rPr>
      </w:pPr>
    </w:p>
    <w:p w14:paraId="0BC7496F">
      <w:pPr>
        <w:pStyle w:val="6"/>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br w:type="page"/>
      </w:r>
    </w:p>
    <w:p w14:paraId="1B7133B5">
      <w:pPr>
        <w:rPr>
          <w:highlight w:val="none"/>
        </w:rPr>
      </w:pP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270439"/>
    <w:rsid w:val="41366CD5"/>
    <w:rsid w:val="7D6B6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2689</Words>
  <Characters>2756</Characters>
  <Lines>0</Lines>
  <Paragraphs>0</Paragraphs>
  <TotalTime>0</TotalTime>
  <ScaleCrop>false</ScaleCrop>
  <LinksUpToDate>false</LinksUpToDate>
  <CharactersWithSpaces>2820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2025-07-08T12:41:00Z</dcterms:created>
  <dc:creator>Lenovo</dc:creator>
  <cp:lastModifiedBy>皮卡期</cp:lastModifiedBy>
  <dcterms:modified xsi:type="dcterms:W3CDTF">2025-08-19T06:32:45Z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eyJoZGlkIjoiN2UwZjY4MTE0OTM1YmRkMDFhODdjZDEyZmMzNzhlYjQiLCJ1c2VySWQiOiIzNzAzNTU5MDQifQ==</vt:lpwstr>
  </property>
  <property fmtid="{D5CDD505-2E9C-101B-9397-08002B2CF9AE}" pid="4" name="ICV">
    <vt:lpwstr>2099C1350824417DAC9D761D01611CCA_12</vt:lpwstr>
  </property>
</Properties>
</file>