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版本号：ZCZX2025-CS-13020250819001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曲江新区机动车尾气和非道路移动机械第三方检测服务项目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ZCZX2025-CS-130</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曲江新区机动车尾气和非道路移动机械第三方检测服务项目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ZCZX2025-CS-130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曲江新区机动车尾气和非道路移动机械第三方检测服务项目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配合开展非道路移动柴油机械排气污染监督抽测以及机动车排气污染路抽检执法检查工作。主要功能或目标:依据GB36886-2018要求，使用规范仪器进行非道路移动机械排气烟度规范检测，并出具相关“中国计量认证CMA检测报告”；按照国GB18285-2018及GB3847-2018规定的检测设备的五点标准气检查，使用国家一级标准物质底量程标准气体设备进行机动车尾气检查，检测完成后出具检测报告。实现“管检分离”、“依法行政”，持续推进机动车排气污染整治工作的落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采购包1（曲江新区机动车尾气和非道路移动机械第三方检测服务项目）：属于专门面向中小企业采购。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 供应商具有质监部门颁发的检验检测机构资质认定证书。证书附表上所列项目包含尾气检测项目；证书附表应具备《非道路移动机械排气烟度限值及测量方法》（GB36886-2018）的检测资质。</w:t>
      </w:r>
    </w:p>
    <w:p>
      <w:pPr>
        <w:pStyle w:val="null3"/>
      </w:pPr>
      <w:r>
        <w:rPr>
          <w:rFonts w:ascii="仿宋_GB2312" w:hAnsi="仿宋_GB2312" w:cs="仿宋_GB2312" w:eastAsia="仿宋_GB2312"/>
        </w:rPr>
        <w:t>2、授权书及授权代表本单位证明：供应商应授权合法的人员参加磋商全过程，其中法定代表人（或负责人）直接参加磋商的，须出具法定代表人身份证，并与营业执照上信息一致。法定代表人（或负责人）授权代表参加磋商的，须出具法定代表人（或负责人）授权书及授权代表本单位证明（提供参保缴费证明和劳动合同，参保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029-81201542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 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配合开展非道路移动柴油机械排气污染监督抽测以及机动车排气污染路抽检执法检查工作。主要功能或目标:依据GB36886-2018要求，使用规范仪器进行非道路移动机械排气烟度规范检测，并出具相关“中国计量认证CMA检测报告”；按照国GB18285-2018及GB3847-2018规定的检测设备的五点标准气检查，使用国家一级标准物质底量程标准气体设备进行机动车尾气检查，检测完成后出具检测报告。实现“管检分离”、“依法行政”，持续推进机动车排气污染整治工作的落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曲江新区机动车尾气和非道路移动机械第三方检测服务项目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标的名称：曲江新区机动车尾气和非道路移动机械第三方检测服务项目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560"/>
              <w:jc w:val="both"/>
            </w:pPr>
            <w:r>
              <w:rPr>
                <w:rFonts w:ascii="仿宋_GB2312" w:hAnsi="仿宋_GB2312" w:cs="仿宋_GB2312" w:eastAsia="仿宋_GB2312"/>
                <w:sz w:val="20"/>
              </w:rPr>
              <w:t>根据西安市人民政府办公厅关于印发推进实现</w:t>
            </w:r>
            <w:r>
              <w:rPr>
                <w:rFonts w:ascii="仿宋_GB2312" w:hAnsi="仿宋_GB2312" w:cs="仿宋_GB2312" w:eastAsia="仿宋_GB2312"/>
                <w:sz w:val="20"/>
              </w:rPr>
              <w:t>“十四五”空气质量目标暨大气污染治理专项行动2025年工作方案的通知（市政办函〔2025〕12号）以及西安曲江新区管理委员会专项问题会议纪要(76)文件精神，《西安市生态环局保护综合执法支队关于开展重型柴油车燃气车后处理装置专项执法检查的通知》要求，各区县每月开展机动车尾气联合检查并加强非道路移动机械排气抽测和执法检查。每月开展机动车尾气联合检查不少于8次，检查机动车数量不少于200辆。每月抽测非道路移动机械不少于6次，抽测机械不少于30台次，并专项开展重型柴油车、燃气车后处理装置专项执法检查。主要功能或目标:依据GB36886-2018要求，使用规范仪器进行非道路移动机械排气烟度规范检测，并出具相关“中国计量认证CMA检测报告”；按照国GB18285-2018及GB3847-2018规定的检测设备的五点标准气检查，使用国家一级标准物质底量程标准气体设备进行机动车尾气检查，检测完成后出具检测报告。</w:t>
            </w:r>
            <w:r>
              <w:rPr>
                <w:rFonts w:ascii="仿宋_GB2312" w:hAnsi="仿宋_GB2312" w:cs="仿宋_GB2312" w:eastAsia="仿宋_GB2312"/>
                <w:sz w:val="20"/>
              </w:rPr>
              <w:t>实现</w:t>
            </w:r>
            <w:r>
              <w:rPr>
                <w:rFonts w:ascii="仿宋_GB2312" w:hAnsi="仿宋_GB2312" w:cs="仿宋_GB2312" w:eastAsia="仿宋_GB2312"/>
                <w:sz w:val="20"/>
              </w:rPr>
              <w:t>“管检分离”、“依法行政”，持续推进机动车排气污染整治工作的落实。</w:t>
            </w:r>
          </w:p>
          <w:p>
            <w:pPr>
              <w:pStyle w:val="null3"/>
              <w:jc w:val="both"/>
            </w:pPr>
            <w:r>
              <w:rPr>
                <w:rFonts w:ascii="仿宋_GB2312" w:hAnsi="仿宋_GB2312" w:cs="仿宋_GB2312" w:eastAsia="仿宋_GB2312"/>
                <w:sz w:val="20"/>
                <w:b/>
              </w:rPr>
              <w:t>二、服务内容</w:t>
            </w:r>
          </w:p>
          <w:p>
            <w:pPr>
              <w:pStyle w:val="null3"/>
              <w:ind w:firstLine="560"/>
              <w:jc w:val="both"/>
            </w:pPr>
            <w:r>
              <w:rPr>
                <w:rFonts w:ascii="仿宋_GB2312" w:hAnsi="仿宋_GB2312" w:cs="仿宋_GB2312" w:eastAsia="仿宋_GB2312"/>
                <w:sz w:val="20"/>
              </w:rPr>
              <w:t>1.配合开展机动车排气污染路抽检执法检查工作，工作时间为每日7:30-22:30，含周末及法定节假日，工作时限为自合同签订之日起1年。以2人为一组，共提供2组4名机动车检验检测人员，2组自行进行轮换倒班；</w:t>
            </w:r>
          </w:p>
          <w:p>
            <w:pPr>
              <w:pStyle w:val="null3"/>
              <w:ind w:firstLine="560"/>
              <w:jc w:val="both"/>
            </w:pPr>
            <w:r>
              <w:rPr>
                <w:rFonts w:ascii="仿宋_GB2312" w:hAnsi="仿宋_GB2312" w:cs="仿宋_GB2312" w:eastAsia="仿宋_GB2312"/>
                <w:sz w:val="20"/>
              </w:rPr>
              <w:t>2.配合开展辖区内非道路移动柴油机械排气污染监督抽测工作，工作时间为每日8:30-22:30，含周末及法定节假日，工作时限为自合同签订之日起1年。以3人为一组，共提供2组6名非道路移动柴油机械排气烟度检验检测人员（1组备用）。</w:t>
            </w:r>
          </w:p>
          <w:p>
            <w:pPr>
              <w:pStyle w:val="null3"/>
              <w:ind w:firstLine="560"/>
              <w:jc w:val="both"/>
            </w:pPr>
            <w:r>
              <w:rPr>
                <w:rFonts w:ascii="仿宋_GB2312" w:hAnsi="仿宋_GB2312" w:cs="仿宋_GB2312" w:eastAsia="仿宋_GB2312"/>
                <w:sz w:val="20"/>
              </w:rPr>
              <w:t>3.专项开展重型柴油车、燃气车后处理装置专项执法检查</w:t>
            </w:r>
            <w:r>
              <w:rPr>
                <w:rFonts w:ascii="仿宋_GB2312" w:hAnsi="仿宋_GB2312" w:cs="仿宋_GB2312" w:eastAsia="仿宋_GB2312"/>
                <w:sz w:val="20"/>
                <w:b/>
              </w:rPr>
              <w:t>三、服务质量及标准</w:t>
            </w:r>
          </w:p>
          <w:p>
            <w:pPr>
              <w:pStyle w:val="null3"/>
              <w:ind w:firstLine="560"/>
              <w:jc w:val="both"/>
            </w:pPr>
            <w:r>
              <w:rPr>
                <w:rFonts w:ascii="仿宋_GB2312" w:hAnsi="仿宋_GB2312" w:cs="仿宋_GB2312" w:eastAsia="仿宋_GB2312"/>
                <w:sz w:val="20"/>
              </w:rPr>
              <w:t>1、</w:t>
            </w:r>
            <w:r>
              <w:rPr>
                <w:rFonts w:ascii="仿宋_GB2312" w:hAnsi="仿宋_GB2312" w:cs="仿宋_GB2312" w:eastAsia="仿宋_GB2312"/>
                <w:sz w:val="20"/>
              </w:rPr>
              <w:t>机动车尾气检测人员具有</w:t>
            </w:r>
            <w:r>
              <w:rPr>
                <w:rFonts w:ascii="仿宋_GB2312" w:hAnsi="仿宋_GB2312" w:cs="仿宋_GB2312" w:eastAsia="仿宋_GB2312"/>
                <w:sz w:val="20"/>
              </w:rPr>
              <w:t>省级及以上</w:t>
            </w:r>
            <w:r>
              <w:rPr>
                <w:rFonts w:ascii="仿宋_GB2312" w:hAnsi="仿宋_GB2312" w:cs="仿宋_GB2312" w:eastAsia="仿宋_GB2312"/>
                <w:sz w:val="20"/>
              </w:rPr>
              <w:t>质检部门颁发的技术考核合格证；</w:t>
            </w:r>
          </w:p>
          <w:p>
            <w:pPr>
              <w:pStyle w:val="null3"/>
              <w:ind w:firstLine="560"/>
              <w:jc w:val="both"/>
            </w:pPr>
            <w:r>
              <w:rPr>
                <w:rFonts w:ascii="仿宋_GB2312" w:hAnsi="仿宋_GB2312" w:cs="仿宋_GB2312" w:eastAsia="仿宋_GB2312"/>
                <w:sz w:val="20"/>
              </w:rPr>
              <w:t>2</w:t>
            </w:r>
            <w:r>
              <w:rPr>
                <w:rFonts w:ascii="仿宋_GB2312" w:hAnsi="仿宋_GB2312" w:cs="仿宋_GB2312" w:eastAsia="仿宋_GB2312"/>
                <w:sz w:val="20"/>
              </w:rPr>
              <w:t>、机动车排气污染路抽检至少提供检定合格、手续完备的</w:t>
            </w:r>
            <w:r>
              <w:rPr>
                <w:rFonts w:ascii="仿宋_GB2312" w:hAnsi="仿宋_GB2312" w:cs="仿宋_GB2312" w:eastAsia="仿宋_GB2312"/>
                <w:sz w:val="20"/>
              </w:rPr>
              <w:t>1台尾气分析仪、1台不透光度计及耗材配件，并保证检测仪器能够正常使用；</w:t>
            </w:r>
          </w:p>
          <w:p>
            <w:pPr>
              <w:pStyle w:val="null3"/>
              <w:ind w:firstLine="560"/>
              <w:jc w:val="both"/>
            </w:pPr>
            <w:r>
              <w:rPr>
                <w:rFonts w:ascii="仿宋_GB2312" w:hAnsi="仿宋_GB2312" w:cs="仿宋_GB2312" w:eastAsia="仿宋_GB2312"/>
                <w:sz w:val="20"/>
              </w:rPr>
              <w:t>非道路移动柴油机械排气污染监督抽测至少提供检定合格、手续完备的</w:t>
            </w:r>
            <w:r>
              <w:rPr>
                <w:rFonts w:ascii="仿宋_GB2312" w:hAnsi="仿宋_GB2312" w:cs="仿宋_GB2312" w:eastAsia="仿宋_GB2312"/>
                <w:sz w:val="20"/>
              </w:rPr>
              <w:t>1台不透光度计及耗材配件，并保证检测仪器能够正常使用。</w:t>
            </w:r>
          </w:p>
          <w:p>
            <w:pPr>
              <w:pStyle w:val="null3"/>
              <w:ind w:firstLine="56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能对被检车辆出具具有法律效力的检测报告；</w:t>
            </w:r>
          </w:p>
          <w:p>
            <w:pPr>
              <w:pStyle w:val="null3"/>
              <w:ind w:firstLine="560"/>
              <w:jc w:val="both"/>
            </w:pPr>
            <w:r>
              <w:rPr>
                <w:rFonts w:ascii="仿宋_GB2312" w:hAnsi="仿宋_GB2312" w:cs="仿宋_GB2312" w:eastAsia="仿宋_GB2312"/>
                <w:sz w:val="20"/>
              </w:rPr>
              <w:t>4</w:t>
            </w:r>
            <w:r>
              <w:rPr>
                <w:rFonts w:ascii="仿宋_GB2312" w:hAnsi="仿宋_GB2312" w:cs="仿宋_GB2312" w:eastAsia="仿宋_GB2312"/>
                <w:sz w:val="20"/>
              </w:rPr>
              <w:t>、提供被检车辆驾驶人讲解机动车排气污染检测以及非道路移</w:t>
            </w:r>
            <w:r>
              <w:rPr>
                <w:rFonts w:ascii="仿宋_GB2312" w:hAnsi="仿宋_GB2312" w:cs="仿宋_GB2312" w:eastAsia="仿宋_GB2312"/>
                <w:sz w:val="20"/>
              </w:rPr>
              <w:t>动柴油机械驾驶人相关问题的服务；</w:t>
            </w:r>
          </w:p>
          <w:p>
            <w:pPr>
              <w:pStyle w:val="null3"/>
              <w:ind w:firstLine="560"/>
              <w:jc w:val="both"/>
            </w:pPr>
            <w:r>
              <w:rPr>
                <w:rFonts w:ascii="仿宋_GB2312" w:hAnsi="仿宋_GB2312" w:cs="仿宋_GB2312" w:eastAsia="仿宋_GB2312"/>
                <w:sz w:val="20"/>
              </w:rPr>
              <w:t>5、</w:t>
            </w:r>
            <w:r>
              <w:rPr>
                <w:rFonts w:ascii="仿宋_GB2312" w:hAnsi="仿宋_GB2312" w:cs="仿宋_GB2312" w:eastAsia="仿宋_GB2312"/>
                <w:sz w:val="20"/>
              </w:rPr>
              <w:t>能</w:t>
            </w:r>
            <w:r>
              <w:rPr>
                <w:rFonts w:ascii="仿宋_GB2312" w:hAnsi="仿宋_GB2312" w:cs="仿宋_GB2312" w:eastAsia="仿宋_GB2312"/>
                <w:sz w:val="20"/>
              </w:rPr>
              <w:t>检测出</w:t>
            </w:r>
            <w:r>
              <w:rPr>
                <w:rFonts w:ascii="仿宋_GB2312" w:hAnsi="仿宋_GB2312" w:cs="仿宋_GB2312" w:eastAsia="仿宋_GB2312"/>
                <w:sz w:val="20"/>
              </w:rPr>
              <w:t>重型柴油车、燃气车</w:t>
            </w:r>
            <w:r>
              <w:rPr>
                <w:rFonts w:ascii="仿宋_GB2312" w:hAnsi="仿宋_GB2312" w:cs="仿宋_GB2312" w:eastAsia="仿宋_GB2312"/>
                <w:sz w:val="20"/>
              </w:rPr>
              <w:t>拆除、损坏、闲置后处理装置，拔出或改动氮氧化物、温度传感器，不正常使用尿素，刷写</w:t>
            </w:r>
            <w:r>
              <w:rPr>
                <w:rFonts w:ascii="仿宋_GB2312" w:hAnsi="仿宋_GB2312" w:cs="仿宋_GB2312" w:eastAsia="仿宋_GB2312"/>
                <w:sz w:val="20"/>
              </w:rPr>
              <w:t>OBD 程序、使用OBD作弊装置，以及超标排放等违法行为</w:t>
            </w:r>
            <w:r>
              <w:rPr>
                <w:rFonts w:ascii="仿宋_GB2312" w:hAnsi="仿宋_GB2312" w:cs="仿宋_GB2312" w:eastAsia="仿宋_GB2312"/>
                <w:sz w:val="20"/>
              </w:rPr>
              <w:t>。</w:t>
            </w:r>
          </w:p>
          <w:p>
            <w:pPr>
              <w:pStyle w:val="null3"/>
              <w:ind w:firstLine="560"/>
              <w:jc w:val="both"/>
            </w:pPr>
            <w:r>
              <w:rPr>
                <w:rFonts w:ascii="仿宋_GB2312" w:hAnsi="仿宋_GB2312" w:cs="仿宋_GB2312" w:eastAsia="仿宋_GB2312"/>
                <w:sz w:val="20"/>
              </w:rPr>
              <w:t>6</w:t>
            </w:r>
            <w:r>
              <w:rPr>
                <w:rFonts w:ascii="仿宋_GB2312" w:hAnsi="仿宋_GB2312" w:cs="仿宋_GB2312" w:eastAsia="仿宋_GB2312"/>
                <w:sz w:val="20"/>
              </w:rPr>
              <w:t>、自行解决现场检测所需统一服装、交通、误餐等相关费用；</w:t>
            </w:r>
          </w:p>
          <w:p>
            <w:pPr>
              <w:pStyle w:val="null3"/>
              <w:jc w:val="both"/>
            </w:pPr>
            <w:r>
              <w:rPr>
                <w:rFonts w:ascii="仿宋_GB2312" w:hAnsi="仿宋_GB2312" w:cs="仿宋_GB2312" w:eastAsia="仿宋_GB2312"/>
                <w:sz w:val="20"/>
              </w:rPr>
              <w:t xml:space="preserve">   7</w:t>
            </w:r>
            <w:r>
              <w:rPr>
                <w:rFonts w:ascii="仿宋_GB2312" w:hAnsi="仿宋_GB2312" w:cs="仿宋_GB2312" w:eastAsia="仿宋_GB2312"/>
                <w:sz w:val="20"/>
              </w:rPr>
              <w:t>、第三方检测机构服务人员，对其检测行为及检测结果承担法律责任。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第一季度服务完成后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第二季度服务完成后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第三季度服务完成后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第四季度服务完成后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成交供应商领取通知书时提供纸质文件2份，纸质文件为电子投标文件一致的签字、盖章的完整版本。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1-1、供应商合法注册的法人或其他组织的营业执照等证明文件，自然人的身份证明； 1-2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1-3、具备履行合同所必需的设备和专业技术能力的证明材料或承诺书； 1-4、有依法缴纳税收和社会保障资金的良好记录相关证明材料； 1-5、参加政府采购活动前三年内，在经营活动中没有重大违法记录的书面声明。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w:t>
            </w:r>
          </w:p>
        </w:tc>
        <w:tc>
          <w:tcPr>
            <w:tcW w:type="dxa" w:w="3322"/>
          </w:tcPr>
          <w:p>
            <w:pPr>
              <w:pStyle w:val="null3"/>
            </w:pPr>
            <w:r>
              <w:rPr>
                <w:rFonts w:ascii="仿宋_GB2312" w:hAnsi="仿宋_GB2312" w:cs="仿宋_GB2312" w:eastAsia="仿宋_GB2312"/>
              </w:rPr>
              <w:t xml:space="preserve"> 供应商具有质监部门颁发的检验检测机构资质认定证书。证书附表上所列项目包含尾气检测项目；证书附表应具备《非道路移动机械排气烟度限值及测量方法》（GB36886-2018）的检测资质。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身份证，并与营业执照上信息一致。法定代表人（或负责人）授权代表参加磋商的，须出具法定代表人（或负责人）授权书及授权代表本单位证明（提供参保缴费证明和劳动合同，参保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合同条款偏离表.docx 采购需求偏离表.docx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合同条款偏离表.docx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检测评审</w:t>
            </w:r>
          </w:p>
        </w:tc>
        <w:tc>
          <w:tcPr>
            <w:tcW w:type="dxa" w:w="2492"/>
          </w:tcPr>
          <w:p>
            <w:pPr>
              <w:pStyle w:val="null3"/>
            </w:pPr>
            <w:r>
              <w:rPr>
                <w:rFonts w:ascii="仿宋_GB2312" w:hAnsi="仿宋_GB2312" w:cs="仿宋_GB2312" w:eastAsia="仿宋_GB2312"/>
              </w:rPr>
              <w:t>1、根据检测方案进行评审。按其响应程度计0～5分。 2、根据检测方式进行评审。按其响应程度计0～5分。 3、提供采购需求中不同类型车辆的排放限值标准，同时，分析检测物超标的原因及降低污染物的有效措施。执行标准和原因分析清晰准确，措施有效可行。按其响应程度计0～5分。 4、提供雾霾严重时期保障检测准确性措施。措施有效可行。按其响应程度计0～5分。 5、提供雨季、风沙季保障检测准确性措施及误工预案。措施、预案有效可行。按其响应程度计0～5分。 6、工作程序和流程能够结合项目的实际情况，详细合理，按其响应程度计0～5分。 7、检测数据管理服务方案详细、科学，能够结合项目的实际情况，按其响应程度计0～5分。 8、检测报告的及时性和完整性，按其响应程度计0～5分。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1、对项目负责人履历，职称，从业资格，类似业绩情况进行综合评审比较。按其响应程度计0～5分。 2、项目人员配备、分工，组织结构设置的健全程度和合理性进行评审。按其响应程度计0～5分。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拟投入本项目的仪器设备情况</w:t>
            </w:r>
          </w:p>
        </w:tc>
        <w:tc>
          <w:tcPr>
            <w:tcW w:type="dxa" w:w="2492"/>
          </w:tcPr>
          <w:p>
            <w:pPr>
              <w:pStyle w:val="null3"/>
            </w:pPr>
            <w:r>
              <w:rPr>
                <w:rFonts w:ascii="仿宋_GB2312" w:hAnsi="仿宋_GB2312" w:cs="仿宋_GB2312" w:eastAsia="仿宋_GB2312"/>
              </w:rPr>
              <w:t>1、对供应商拟投入本项目的检测仪器设备情况进行评审（需提供主要仪器设备的有效计量检定证书），按其响应程度计0～5分。 2、仪器设备信息化程度高，为市场主流设备。按其响应程度计0～5分。 3、对供应商拟投入本项目的办公、交通等设备情况进行评审。按其响应程度计0～5分。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服务承诺及应急预案</w:t>
            </w:r>
          </w:p>
        </w:tc>
        <w:tc>
          <w:tcPr>
            <w:tcW w:type="dxa" w:w="2492"/>
          </w:tcPr>
          <w:p>
            <w:pPr>
              <w:pStyle w:val="null3"/>
            </w:pPr>
            <w:r>
              <w:rPr>
                <w:rFonts w:ascii="仿宋_GB2312" w:hAnsi="仿宋_GB2312" w:cs="仿宋_GB2312" w:eastAsia="仿宋_GB2312"/>
              </w:rPr>
              <w:t>1、针对检测服务的承诺情况，按其响应程度计0～5分。 2、针对检测质量指标的承诺情况，按其响应程度计0～5分。 3、针对本项目的应急预案及合理化建议。按其响应程度计0～5分。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针对本项目提供本地化服务并提供具体方案，按其响应程度计0～5分。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供应商提供2022年1月1日至今类似项目业绩，业绩以合同为依据，响应文件中附有其证明资料，每提供一个业绩证明计1分，满分5分。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