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版本号：ZCZX2025-CS-145（T）20250822001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曲江新区城管执法大队工作用车燃油采购(三次)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ZCZX2025-CS-145（T）</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曲江新区城管执法大队工作用车燃油采购(三次)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ZCZX2025-CS-145（T）</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曲江新区城管执法大队工作用车燃油采购(三次)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曲江新区城管执法大队工作用车燃油采购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法定代表人（或负责人）委托代理人参加磋商时，应提供法定代表人委托授权书及被授权人的参保缴费证明（须赋可查询的验证编号或验证二维码）和劳动合同；法定代表人（或负责人）亲自参加磋商时，应提供法定代表人（或负责人）身份证，并与营业执照上信息一致。</w:t>
      </w:r>
    </w:p>
    <w:p>
      <w:pPr>
        <w:pStyle w:val="null3"/>
      </w:pPr>
      <w:r>
        <w:rPr>
          <w:rFonts w:ascii="仿宋_GB2312" w:hAnsi="仿宋_GB2312" w:cs="仿宋_GB2312" w:eastAsia="仿宋_GB2312"/>
        </w:rPr>
        <w:t>2、供应商资质：供应商须具有有效的《危险化学品经营许可证》及《成品油零售经营批准证书》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029-68660318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由于本项目报价为下浮率，因此计费基数以采购预算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曲江新区城管执法大队工作用车燃油采购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车辆燃油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标的名称：车辆燃油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、项目概况</w:t>
            </w:r>
          </w:p>
          <w:p>
            <w:pPr>
              <w:pStyle w:val="null3"/>
              <w:ind w:firstLine="400"/>
            </w:pPr>
            <w:r>
              <w:rPr>
                <w:rFonts w:ascii="仿宋_GB2312" w:hAnsi="仿宋_GB2312" w:cs="仿宋_GB2312" w:eastAsia="仿宋_GB2312"/>
              </w:rPr>
              <w:t>采购人</w:t>
            </w:r>
            <w:r>
              <w:rPr>
                <w:rFonts w:ascii="仿宋_GB2312" w:hAnsi="仿宋_GB2312" w:cs="仿宋_GB2312" w:eastAsia="仿宋_GB2312"/>
              </w:rPr>
              <w:t>目前执法范围</w:t>
            </w:r>
            <w:r>
              <w:rPr>
                <w:rFonts w:ascii="仿宋_GB2312" w:hAnsi="仿宋_GB2312" w:cs="仿宋_GB2312" w:eastAsia="仿宋_GB2312"/>
              </w:rPr>
              <w:t>51.5</w:t>
            </w:r>
            <w:r>
              <w:rPr>
                <w:rFonts w:ascii="仿宋_GB2312" w:hAnsi="仿宋_GB2312" w:cs="仿宋_GB2312" w:eastAsia="仿宋_GB2312"/>
              </w:rPr>
              <w:t>平方公里，工作模式分长白班和倒班模式（四班三运转），现有执法车辆共计</w:t>
            </w:r>
            <w:r>
              <w:rPr>
                <w:rFonts w:ascii="仿宋_GB2312" w:hAnsi="仿宋_GB2312" w:cs="仿宋_GB2312" w:eastAsia="仿宋_GB2312"/>
              </w:rPr>
              <w:t>58</w:t>
            </w:r>
            <w:r>
              <w:rPr>
                <w:rFonts w:ascii="仿宋_GB2312" w:hAnsi="仿宋_GB2312" w:cs="仿宋_GB2312" w:eastAsia="仿宋_GB2312"/>
              </w:rPr>
              <w:t>台（其中面包车</w:t>
            </w:r>
            <w:r>
              <w:rPr>
                <w:rFonts w:ascii="仿宋_GB2312" w:hAnsi="仿宋_GB2312" w:cs="仿宋_GB2312" w:eastAsia="仿宋_GB2312"/>
              </w:rPr>
              <w:t>45</w:t>
            </w:r>
            <w:r>
              <w:rPr>
                <w:rFonts w:ascii="仿宋_GB2312" w:hAnsi="仿宋_GB2312" w:cs="仿宋_GB2312" w:eastAsia="仿宋_GB2312"/>
              </w:rPr>
              <w:t>台，皮卡</w:t>
            </w:r>
            <w:r>
              <w:rPr>
                <w:rFonts w:ascii="仿宋_GB2312" w:hAnsi="仿宋_GB2312" w:cs="仿宋_GB2312" w:eastAsia="仿宋_GB2312"/>
              </w:rPr>
              <w:t>7</w:t>
            </w:r>
            <w:r>
              <w:rPr>
                <w:rFonts w:ascii="仿宋_GB2312" w:hAnsi="仿宋_GB2312" w:cs="仿宋_GB2312" w:eastAsia="仿宋_GB2312"/>
              </w:rPr>
              <w:t>台，拖车</w:t>
            </w:r>
            <w:r>
              <w:rPr>
                <w:rFonts w:ascii="仿宋_GB2312" w:hAnsi="仿宋_GB2312" w:cs="仿宋_GB2312" w:eastAsia="仿宋_GB2312"/>
              </w:rPr>
              <w:t>1</w:t>
            </w:r>
            <w:r>
              <w:rPr>
                <w:rFonts w:ascii="仿宋_GB2312" w:hAnsi="仿宋_GB2312" w:cs="仿宋_GB2312" w:eastAsia="仿宋_GB2312"/>
              </w:rPr>
              <w:t>台，金杯客车</w:t>
            </w:r>
            <w:r>
              <w:rPr>
                <w:rFonts w:ascii="仿宋_GB2312" w:hAnsi="仿宋_GB2312" w:cs="仿宋_GB2312" w:eastAsia="仿宋_GB2312"/>
              </w:rPr>
              <w:t>3</w:t>
            </w:r>
            <w:r>
              <w:rPr>
                <w:rFonts w:ascii="仿宋_GB2312" w:hAnsi="仿宋_GB2312" w:cs="仿宋_GB2312" w:eastAsia="仿宋_GB2312"/>
              </w:rPr>
              <w:t>台，日产帕拉丁</w:t>
            </w:r>
            <w:r>
              <w:rPr>
                <w:rFonts w:ascii="仿宋_GB2312" w:hAnsi="仿宋_GB2312" w:cs="仿宋_GB2312" w:eastAsia="仿宋_GB2312"/>
              </w:rPr>
              <w:t>1</w:t>
            </w:r>
            <w:r>
              <w:rPr>
                <w:rFonts w:ascii="仿宋_GB2312" w:hAnsi="仿宋_GB2312" w:cs="仿宋_GB2312" w:eastAsia="仿宋_GB2312"/>
              </w:rPr>
              <w:t>台，传祺</w:t>
            </w:r>
            <w:r>
              <w:rPr>
                <w:rFonts w:ascii="仿宋_GB2312" w:hAnsi="仿宋_GB2312" w:cs="仿宋_GB2312" w:eastAsia="仿宋_GB2312"/>
              </w:rPr>
              <w:t>1</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根据工作需要，现需采购车辆燃油。</w:t>
            </w:r>
          </w:p>
          <w:p>
            <w:pPr>
              <w:pStyle w:val="null3"/>
            </w:pPr>
            <w:r>
              <w:rPr>
                <w:rFonts w:ascii="仿宋_GB2312" w:hAnsi="仿宋_GB2312" w:cs="仿宋_GB2312" w:eastAsia="仿宋_GB2312"/>
                <w:b/>
              </w:rPr>
              <w:t>二、项目要求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燃油型号要求：提供</w:t>
            </w:r>
            <w:r>
              <w:rPr>
                <w:rFonts w:ascii="仿宋_GB2312" w:hAnsi="仿宋_GB2312" w:cs="仿宋_GB2312" w:eastAsia="仿宋_GB2312"/>
              </w:rPr>
              <w:t>92#</w:t>
            </w:r>
            <w:r>
              <w:rPr>
                <w:rFonts w:ascii="仿宋_GB2312" w:hAnsi="仿宋_GB2312" w:cs="仿宋_GB2312" w:eastAsia="仿宋_GB2312"/>
              </w:rPr>
              <w:t>号汽油</w:t>
            </w:r>
            <w:r>
              <w:rPr>
                <w:rFonts w:ascii="仿宋_GB2312" w:hAnsi="仿宋_GB2312" w:cs="仿宋_GB2312" w:eastAsia="仿宋_GB2312"/>
              </w:rPr>
              <w:t>、</w:t>
            </w:r>
            <w:r>
              <w:rPr>
                <w:rFonts w:ascii="仿宋_GB2312" w:hAnsi="仿宋_GB2312" w:cs="仿宋_GB2312" w:eastAsia="仿宋_GB2312"/>
              </w:rPr>
              <w:t>柴油</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油品质量要求：油品符合现行国家标准，保质保量，检验合格；</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服务及安全要求：</w:t>
            </w:r>
          </w:p>
          <w:p>
            <w:pPr>
              <w:pStyle w:val="null3"/>
            </w:pPr>
            <w:r>
              <w:rPr>
                <w:rFonts w:ascii="仿宋_GB2312" w:hAnsi="仿宋_GB2312" w:cs="仿宋_GB2312" w:eastAsia="仿宋_GB2312"/>
              </w:rPr>
              <w:t>3-1</w:t>
            </w:r>
            <w:r>
              <w:rPr>
                <w:rFonts w:ascii="仿宋_GB2312" w:hAnsi="仿宋_GB2312" w:cs="仿宋_GB2312" w:eastAsia="仿宋_GB2312"/>
              </w:rPr>
              <w:t>、</w:t>
            </w:r>
            <w:r>
              <w:rPr>
                <w:rFonts w:ascii="仿宋_GB2312" w:hAnsi="仿宋_GB2312" w:cs="仿宋_GB2312" w:eastAsia="仿宋_GB2312"/>
              </w:rPr>
              <w:t>供应商需提供</w:t>
            </w:r>
            <w:r>
              <w:rPr>
                <w:rFonts w:ascii="仿宋_GB2312" w:hAnsi="仿宋_GB2312" w:cs="仿宋_GB2312" w:eastAsia="仿宋_GB2312"/>
              </w:rPr>
              <w:t>24</w:t>
            </w:r>
            <w:r>
              <w:rPr>
                <w:rFonts w:ascii="仿宋_GB2312" w:hAnsi="仿宋_GB2312" w:cs="仿宋_GB2312" w:eastAsia="仿宋_GB2312"/>
              </w:rPr>
              <w:t>小时全天候安全、快捷加油服务；</w:t>
            </w:r>
          </w:p>
          <w:p>
            <w:pPr>
              <w:pStyle w:val="null3"/>
            </w:pPr>
            <w:r>
              <w:rPr>
                <w:rFonts w:ascii="仿宋_GB2312" w:hAnsi="仿宋_GB2312" w:cs="仿宋_GB2312" w:eastAsia="仿宋_GB2312"/>
              </w:rPr>
              <w:t>3-2</w:t>
            </w:r>
            <w:r>
              <w:rPr>
                <w:rFonts w:ascii="仿宋_GB2312" w:hAnsi="仿宋_GB2312" w:cs="仿宋_GB2312" w:eastAsia="仿宋_GB2312"/>
              </w:rPr>
              <w:t>、</w:t>
            </w:r>
            <w:r>
              <w:rPr>
                <w:rFonts w:ascii="仿宋_GB2312" w:hAnsi="仿宋_GB2312" w:cs="仿宋_GB2312" w:eastAsia="仿宋_GB2312"/>
              </w:rPr>
              <w:t>供应商工作人员需执行凭卡加油管理制度，对采购人加油时违反规定等其他行为，有权拒绝并及时向采购人反映；</w:t>
            </w:r>
          </w:p>
          <w:p>
            <w:pPr>
              <w:pStyle w:val="null3"/>
            </w:pPr>
            <w:r>
              <w:rPr>
                <w:rFonts w:ascii="仿宋_GB2312" w:hAnsi="仿宋_GB2312" w:cs="仿宋_GB2312" w:eastAsia="仿宋_GB2312"/>
              </w:rPr>
              <w:t>3-3</w:t>
            </w:r>
            <w:r>
              <w:rPr>
                <w:rFonts w:ascii="仿宋_GB2312" w:hAnsi="仿宋_GB2312" w:cs="仿宋_GB2312" w:eastAsia="仿宋_GB2312"/>
              </w:rPr>
              <w:t>、</w:t>
            </w:r>
            <w:r>
              <w:rPr>
                <w:rFonts w:ascii="仿宋_GB2312" w:hAnsi="仿宋_GB2312" w:cs="仿宋_GB2312" w:eastAsia="仿宋_GB2312"/>
              </w:rPr>
              <w:t>供应商需认真落实消防安全责任制，确保加油车辆在加油时的安全，如因供应商安全生产措施不力，造成车辆损失的，负赔偿责任；</w:t>
            </w:r>
          </w:p>
          <w:p>
            <w:pPr>
              <w:pStyle w:val="null3"/>
            </w:pPr>
            <w:r>
              <w:rPr>
                <w:rFonts w:ascii="仿宋_GB2312" w:hAnsi="仿宋_GB2312" w:cs="仿宋_GB2312" w:eastAsia="仿宋_GB2312"/>
              </w:rPr>
              <w:t>3-4</w:t>
            </w:r>
            <w:r>
              <w:rPr>
                <w:rFonts w:ascii="仿宋_GB2312" w:hAnsi="仿宋_GB2312" w:cs="仿宋_GB2312" w:eastAsia="仿宋_GB2312"/>
              </w:rPr>
              <w:t>、</w:t>
            </w:r>
            <w:r>
              <w:rPr>
                <w:rFonts w:ascii="仿宋_GB2312" w:hAnsi="仿宋_GB2312" w:cs="仿宋_GB2312" w:eastAsia="仿宋_GB2312"/>
              </w:rPr>
              <w:t>为减少采购人车辆在加油途中的路线绕行、行路交通违法行为等，供应商需在位于曲江新区及曲江沿线设有固定加油站点。</w:t>
            </w:r>
          </w:p>
          <w:p>
            <w:pPr>
              <w:pStyle w:val="null3"/>
              <w:jc w:val="both"/>
            </w:pPr>
            <w:r>
              <w:rPr>
                <w:rFonts w:ascii="仿宋_GB2312" w:hAnsi="仿宋_GB2312" w:cs="仿宋_GB2312" w:eastAsia="仿宋_GB2312"/>
                <w:sz w:val="21"/>
              </w:rPr>
              <w:t>三、服务期限：一年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乙方提供上月燃油加油清单，经甲方确认无误后，按照本项目成交下浮率据实结算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法定代表人（或负责人）委托代理人参加磋商时，应提供法定代表人委托授权书及被授权人的参保缴费证明（须赋可查询的验证编号或验证二维码）和劳动合同；法定代表人（或负责人）亲自参加磋商时，应提供法定代表人（或负责人）身份证，并与营业执照上信息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供应商须具有有效的《危险化学品经营许可证》及《成品油零售经营批准证书》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商务要求（合同草案条款）偏离表.docx 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 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磋商方案说明.docx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经过资格和符合性审查合格的供应商，响应文件中对服务期限、付款等方面进行响应说明，按其响应程度计0～5分。无响应说明的不计分。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1、投标人针对本项目重点、难点的理解，按其响应程度计0～5分。 2、具有保证加油服务工作的规范性措施，按其响应程度计0～5分。 3、具有稳定的油源渠道，保证油品质量，按其响应程度计0～5分。 4、加油站点设置合理，符合采购需求，按其响应程度计0～5分。 5、具备完整的应急工作预案、消防预案，按其响应程度计0～5分。 6、具有详细完整的加油台账，按其响应程度计0～5分。 7、计量用具符合国家标准，不得缺斤少两，按其响应程度计0～5分。 8、服务管理制度合理、详尽，按其响应程度计0～5分。 9、提供完善的安全保障方案，按其响应程度计0～5分。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根据本项目需求，设置合理的人员配置，按其响应程度计0～5分。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据投标人的服务承诺内容，按其响应程度计0～5分。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报价方式：下浮率 评标基准下浮率：满足磋商文件要求的有效投标报价中下浮率 最高报价为评标基准下浮率，即其报价得分为30分，价格分计算公式：报价得分= (1-评价基准下浮率）/(1-投标下浮率）×30 （最后得分取小数点后两位）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