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版本号：SXSJ-202502720250826001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2025年曲江新区环卫车队车辆年检服务项目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SXSJ-2025027</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2025年曲江新区环卫车队车辆年检服务项目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SXSJ-2025027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2025年曲江新区环卫车队车辆年检服务项目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2025年曲江新区环卫车队将有144辆环卫车辆参加年检，最终根据实际发生费用据实结算。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采购包1（2025年曲江新区环卫车队车辆年检服务项目）：属于专门面向中小企业采购。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法定代表人（或负责人）身份证明/法定代表人（或负责人）授权委托书：法定代表人（或负责人）直接参加投标的，须提供法定代表人（或负责人）身份证明及其身份证电子件；法定代表人（或负责人）授权他人参加投标的，须提供法定代表人（或负责人）授权委托书（附法定代表人（或负责人）、被授权人身份证电子件），授权代表本单位证明（养老保险缴纳证明（须赋可查询的验证编号或验证二维码且开标日期在验证有效期内）或劳动合同）</w:t>
      </w:r>
    </w:p>
    <w:p>
      <w:pPr>
        <w:pStyle w:val="null3"/>
      </w:pPr>
      <w:r>
        <w:rPr>
          <w:rFonts w:ascii="仿宋_GB2312" w:hAnsi="仿宋_GB2312" w:cs="仿宋_GB2312" w:eastAsia="仿宋_GB2312"/>
        </w:rPr>
        <w:t>2、信用查询：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3、控股管理关系：单位负责人为同一人或者存在直接控股、管理关系的投标人，不得参加同一合同下的政府采购活动；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陕西省西安市高新区高新四路创业广场B座12层1203—B36号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15332393126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代理服务费收费标准：参考国家计委颁布的《招标代理服务收费管理暂行办法》（计价格[2002]1980号）和（发改办价格[2003]857号）文收费标准的90%计取。 名 称：陕西昇杰项目管理有限公司 开户行：中国建设银行股份有限公司西安徐家湾支行 账 号：61050175580000000622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联系人：付潭</w:t>
      </w:r>
    </w:p>
    <w:p>
      <w:pPr>
        <w:pStyle w:val="null3"/>
      </w:pPr>
      <w:r>
        <w:rPr>
          <w:rFonts w:ascii="仿宋_GB2312" w:hAnsi="仿宋_GB2312" w:cs="仿宋_GB2312" w:eastAsia="仿宋_GB2312"/>
        </w:rPr>
        <w:t>联系电话：15332393126</w:t>
      </w:r>
    </w:p>
    <w:p>
      <w:pPr>
        <w:pStyle w:val="null3"/>
      </w:pPr>
      <w:r>
        <w:rPr>
          <w:rFonts w:ascii="仿宋_GB2312" w:hAnsi="仿宋_GB2312" w:cs="仿宋_GB2312" w:eastAsia="仿宋_GB2312"/>
        </w:rPr>
        <w:t>地址：陕西省西安市高新区高新四路创业广场B座12层1203—B36号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2025年曲江新区环卫车队将有144辆环卫车辆参加年检，最终根据实际发生费用据实结算。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采购一家资质齐全，信誉良好的大型车辆年检代办单位。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标的名称：采购一家资质齐全，信誉良好的大型车辆年检代办单位。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2025年曲江新区环卫车队将有144辆环卫车辆参加年检，最终根据实际发生费用据实结算。服务车辆情况及明细如下。</w:t>
            </w:r>
          </w:p>
          <w:p>
            <w:pPr>
              <w:pStyle w:val="null3"/>
              <w:ind w:firstLine="400"/>
              <w:jc w:val="both"/>
            </w:pPr>
            <w:r>
              <w:rPr>
                <w:rFonts w:ascii="仿宋_GB2312" w:hAnsi="仿宋_GB2312" w:cs="仿宋_GB2312" w:eastAsia="仿宋_GB2312"/>
                <w:sz w:val="20"/>
              </w:rPr>
              <w:t>车辆情况如下：</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671"/>
              <w:gridCol w:w="630"/>
              <w:gridCol w:w="493"/>
              <w:gridCol w:w="533"/>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车牌号码</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车辆名称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排放标准（国）</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AQ6087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AQ1217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AQ3927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AN2879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AN2521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AN2808</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AN3166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AN2769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AN2312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AN2831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AN3089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AN3155</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AN2771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AN2321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AS6011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AS6122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AS6263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AS6299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AT5561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LNG</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AV1770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AV6933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A02346D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A09883D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A05155D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A05567D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A08901D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A03038D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A01777D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A06950D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A05530D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A08756D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A05885D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A09086D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A01332D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A06830D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A01338D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A28363D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A23117D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A26367D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A28825D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A02737D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A29227D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A03317D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A20919D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A28772D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纯电动水车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AS6163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雾炮降尘车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AN3177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雾炮降尘车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AN2877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雾炮降尘车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AW7666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AW7616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高压冲洗车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AQ6199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AQ5977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AN2977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AN2809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AN3137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AN3039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AN2929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AN2713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AN2911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AN2762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AQ5957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AQ6166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AQ6623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AS6213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AS6063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AS6226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AS6098</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AS6099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ACW721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ACH053</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ACH577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AS5968</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AV5752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AV2737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AV1797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AV2797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AV3757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AV3726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AV3937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AV2770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AV6969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大型污水循环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A07172D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A02348D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A06355D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A03677D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A09667D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A06822D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A00656D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A09619D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A08020D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A05557D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A00697D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A00927D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A06518D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A06555D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A00368D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A05355D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A00540D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A25332D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A27336D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A09767D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A27720D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A08776D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A06083D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A09807D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A01963D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纯电动洗扫车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纯电动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AT9138</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干式吸尘车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AT9870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干式吸尘车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AW8339</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干式吸尘车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AW8336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干式吸尘车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AAM906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干式吸尘车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AAN121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干式吸尘车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A0F52U</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A0G06X</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A0R56D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A0Y70D</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A0Z10F</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A0Z52Y</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AA0T71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AQ0E67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A0V99W</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A0V19W</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A0Z99F</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AE6Z97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AL7222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w:t>
                  </w:r>
                  <w:r>
                    <w:rPr>
                      <w:rFonts w:ascii="仿宋_GB2312" w:hAnsi="仿宋_GB2312" w:cs="仿宋_GB2312" w:eastAsia="仿宋_GB2312"/>
                      <w:sz w:val="20"/>
                    </w:rPr>
                    <w:t xml:space="preserve">  </w:t>
                  </w:r>
                  <w:r>
                    <w:rPr>
                      <w:rFonts w:ascii="仿宋_GB2312" w:hAnsi="仿宋_GB2312" w:cs="仿宋_GB2312" w:eastAsia="仿宋_GB2312"/>
                      <w:sz w:val="20"/>
                    </w:rPr>
                    <w:t>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A62SQ2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轻</w:t>
                  </w:r>
                  <w:r>
                    <w:rPr>
                      <w:rFonts w:ascii="仿宋_GB2312" w:hAnsi="仿宋_GB2312" w:cs="仿宋_GB2312" w:eastAsia="仿宋_GB2312"/>
                      <w:sz w:val="20"/>
                    </w:rPr>
                    <w:t xml:space="preserve">  </w:t>
                  </w:r>
                  <w:r>
                    <w:rPr>
                      <w:rFonts w:ascii="仿宋_GB2312" w:hAnsi="仿宋_GB2312" w:cs="仿宋_GB2312" w:eastAsia="仿宋_GB2312"/>
                      <w:sz w:val="20"/>
                    </w:rPr>
                    <w:t>卡</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ADL172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深度保洁车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ACA727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护栏清洗车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ACT087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护栏清洗车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ABL037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墙面清洗车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AK2065</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III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AX37Y5</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道路养护车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AS9010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AV8660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AW0656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AV8692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AQ8366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AM0026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III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AW9592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AW9561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AW9535</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AZ6962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AU3331</w:t>
                  </w:r>
                </w:p>
              </w:tc>
              <w:tc>
                <w:tcPr>
                  <w:tcW w:type="dxa" w:w="6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液体清雪车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w:t>
                  </w:r>
                  <w:r>
                    <w:rPr>
                      <w:rFonts w:ascii="仿宋_GB2312" w:hAnsi="仿宋_GB2312" w:cs="仿宋_GB2312" w:eastAsia="仿宋_GB2312"/>
                      <w:sz w:val="20"/>
                    </w:rPr>
                    <w:t>ACX071</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液体清雪车</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二、采购要求</w:t>
            </w:r>
          </w:p>
          <w:p>
            <w:pPr>
              <w:pStyle w:val="null3"/>
              <w:ind w:firstLine="400"/>
              <w:jc w:val="both"/>
            </w:pPr>
            <w:r>
              <w:rPr>
                <w:rFonts w:ascii="仿宋_GB2312" w:hAnsi="仿宋_GB2312" w:cs="仿宋_GB2312" w:eastAsia="仿宋_GB2312"/>
                <w:sz w:val="20"/>
              </w:rPr>
              <w:t>1、环卫车辆年检费用必须为2025年最新市场价；</w:t>
            </w:r>
          </w:p>
          <w:p>
            <w:pPr>
              <w:pStyle w:val="null3"/>
              <w:ind w:firstLine="400"/>
              <w:jc w:val="both"/>
            </w:pPr>
            <w:r>
              <w:rPr>
                <w:rFonts w:ascii="仿宋_GB2312" w:hAnsi="仿宋_GB2312" w:cs="仿宋_GB2312" w:eastAsia="仿宋_GB2312"/>
                <w:sz w:val="20"/>
              </w:rPr>
              <w:t>2、必须保障曲江新区环卫车辆年检工作正常开展；</w:t>
            </w:r>
          </w:p>
          <w:p>
            <w:pPr>
              <w:pStyle w:val="null3"/>
              <w:ind w:firstLine="400"/>
              <w:jc w:val="both"/>
            </w:pPr>
            <w:r>
              <w:rPr>
                <w:rFonts w:ascii="仿宋_GB2312" w:hAnsi="仿宋_GB2312" w:cs="仿宋_GB2312" w:eastAsia="仿宋_GB2312"/>
                <w:sz w:val="20"/>
              </w:rPr>
              <w:t>3、承检单位必须具有垫付已发生未报批费用的能力。</w:t>
            </w:r>
          </w:p>
          <w:p>
            <w:pPr>
              <w:pStyle w:val="null3"/>
              <w:ind w:firstLine="400"/>
              <w:jc w:val="both"/>
            </w:pPr>
            <w:r>
              <w:rPr>
                <w:rFonts w:ascii="仿宋_GB2312" w:hAnsi="仿宋_GB2312" w:cs="仿宋_GB2312" w:eastAsia="仿宋_GB2312"/>
                <w:sz w:val="20"/>
              </w:rPr>
              <w:t>4、保证每一辆车辆通过年检。</w:t>
            </w:r>
          </w:p>
          <w:p>
            <w:pPr>
              <w:pStyle w:val="null3"/>
              <w:jc w:val="both"/>
            </w:pPr>
            <w:r>
              <w:rPr>
                <w:rFonts w:ascii="仿宋_GB2312" w:hAnsi="仿宋_GB2312" w:cs="仿宋_GB2312" w:eastAsia="仿宋_GB2312"/>
                <w:sz w:val="20"/>
                <w:b/>
              </w:rPr>
              <w:t>三、其他要求</w:t>
            </w:r>
          </w:p>
          <w:p>
            <w:pPr>
              <w:pStyle w:val="null3"/>
              <w:ind w:firstLine="400"/>
              <w:jc w:val="both"/>
            </w:pPr>
            <w:r>
              <w:rPr>
                <w:rFonts w:ascii="仿宋_GB2312" w:hAnsi="仿宋_GB2312" w:cs="仿宋_GB2312" w:eastAsia="仿宋_GB2312"/>
                <w:sz w:val="20"/>
              </w:rPr>
              <w:t>1、在检测过程中，环卫车辆出现任何故障等问题，由供应商自行承担相关责任。</w:t>
            </w:r>
          </w:p>
          <w:p>
            <w:pPr>
              <w:pStyle w:val="null3"/>
            </w:pPr>
            <w:r>
              <w:rPr>
                <w:rFonts w:ascii="仿宋_GB2312" w:hAnsi="仿宋_GB2312" w:cs="仿宋_GB2312" w:eastAsia="仿宋_GB2312"/>
                <w:sz w:val="20"/>
              </w:rPr>
              <w:t xml:space="preserve">         2、供应商响应报价应为完成本次采购范围内全部内容的所有费用，如一旦成交，在服务过程中出现任何遗漏，均由成交供应商自行负责，采购人不再支付任何费用，合同签订时不予调整。</w:t>
            </w:r>
          </w:p>
          <w:p>
            <w:pPr>
              <w:pStyle w:val="null3"/>
              <w:jc w:val="both"/>
            </w:pPr>
            <w:r>
              <w:rPr>
                <w:rFonts w:ascii="仿宋_GB2312" w:hAnsi="仿宋_GB2312" w:cs="仿宋_GB2312" w:eastAsia="仿宋_GB2312"/>
                <w:sz w:val="20"/>
              </w:rPr>
              <w:t xml:space="preserve">         3、为进一步加强车辆年检服务工作，促进车辆年检服务质量，采购人对项目完成情况进行绩效考核。</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（1）本合同签定后，经双方协商一致，可以对本合同有关条款进行变更或者补充，但要以书面形式确认。上述文件一经签署，即具有法律效力，并成为本合同的有效组成部分之一。 （2）订立本合同所依据的客观情况发生重大变化，致使本合同无法履行的，经双方协商同意，可以变更本合同相关内容或者终止合同的履行，如对一方已经造成经济损失，另一方应进行相应补偿。 （3）任何一方违反本合同，给对方造成损失的，应友好协商解决；在本合同其他条款对违约有具体约定时，从其约定。 （4）因不可抗拒原因或其他意外事件，应当迟延履行本合同，应将事件情况以书面形式通知另一方并向另一方提交相应的证明。</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根据每季度实际通过年检的车辆总费用，在下一个季度初目标绩效考核合格后，达到付款条件，支付上一个季度确认费用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中标供应商领取中标通知书时，需提交纸质版响应文件一正两副。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1、具有独立承担民事责任能力的法人、其他组织或自然人：法人、其他组织须提供合法有效的营业执照 (或事业单位法人证书）等证明资料，自然人须提供身份证明，需在项目电子化交易系统中按要求上传相应证明文件并进行电子签章；2、供应商应具有良好的商业信誉和健全的财务会计制度；3、社保资金缴纳证明：提交投标文件截止时间前六个月内至少一个月的社会保障资金缴存单据或社保机构开具的社会保险参保缴费情况证明，单据或证明上应有社保机构或代收机构的公章或业务专用章。（须赋可查询的验证编号或验证二维码且开标日期在验证有效期内）；4.税收缴纳证明：提交投标文件截止时间前六个月内至少一个月的纳税证明或完税证明（增值税、营业税、企业所得税至少提供一种），纳税证明或完税证明上应有代收机构或税务机关的公章或业务专用章，依法免税的投标人，应提供相应证明文件；5、提供参与本次政府采购活动前3年内在经营活动中没有重大违法记录的书面声明；6、供应商提供具有履行本合同所必需的设备和专业技术能力的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提供具有经审计资质单位出具的2024年度的财务审计报告（审计报告“二维码”赋码查验功能），或其开标前六个月内基本存款账户开户银行出具的资信证明。（以上两种形式的资料提供任何一种即可）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投标的，须提供法定代表人（或负责人）身份证明及其身份证电子件；法定代表人（或负责人）授权他人参加投标的，须提供法定代表人（或负责人）授权委托书（附法定代表人（或负责人）、被授权人身份证电子件），授权代表本单位证明（养老保险缴纳证明（须赋可查询的验证编号或验证二维码且开标日期在验证有效期内）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单位负责人为同一人或者存在直接控股、管理关系的投标人，不得参加同一合同下的政府采购活动；</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有法定代表人或委托代理人签字(或盖章)并加盖单位公章</w:t>
            </w:r>
          </w:p>
        </w:tc>
        <w:tc>
          <w:tcPr>
            <w:tcW w:type="dxa" w:w="1661"/>
          </w:tcPr>
          <w:p>
            <w:pPr>
              <w:pStyle w:val="null3"/>
            </w:pPr>
            <w:r>
              <w:rPr>
                <w:rFonts w:ascii="仿宋_GB2312" w:hAnsi="仿宋_GB2312" w:cs="仿宋_GB2312" w:eastAsia="仿宋_GB2312"/>
              </w:rPr>
              <w:t>响应文件封面 商务要求（合同草案条款）偏离表.docx 中小企业声明函 服务绩效考核承诺.docx 标的清单 报价表 采购需求偏离表.docx 响应函 资格证明文件.docx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供应商应提供对合同草案条款的整体响应承诺书，承诺完全响应的得3分，不响应或不提供的不得分。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①针对不同车型提供年检服务方案；②针对老旧车辆提供年检服务方案；③针对年检车辆安全事故处理保障措施（包括：意外伤害赔偿、风险规避措施）；④年检车辆管理方案； 二、评审标准 1、完整性：方案全面，对评审内容中的各项要求有详细描述； 2、可行性：切合本项目实际情况，提出步骤清晰、合理的方案； 3、针对性：方案能够紧扣项目实际情况，内容科学合理。 三、赋分标准 ①针对不同车型提供年检服务方案：每完全满足一个评审标准得2分，满分6分； ②针对老旧车辆提供年检服务方案：每完全满足一个评审标准得2分，满分6分； ③针对车辆年检过程中安全事故处理保障措施（包括：意外伤害赔偿、风险规避措施）：每完全满足一个评审标准得2分，满分6分； ④年检车辆管理方案：每完全满足一个评审标准得1分，满分3分； 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企业管理</w:t>
            </w:r>
          </w:p>
        </w:tc>
        <w:tc>
          <w:tcPr>
            <w:tcW w:type="dxa" w:w="2492"/>
          </w:tcPr>
          <w:p>
            <w:pPr>
              <w:pStyle w:val="null3"/>
            </w:pPr>
            <w:r>
              <w:rPr>
                <w:rFonts w:ascii="仿宋_GB2312" w:hAnsi="仿宋_GB2312" w:cs="仿宋_GB2312" w:eastAsia="仿宋_GB2312"/>
              </w:rPr>
              <w:t>一、评审内容 ①财务管理制度；②台账管理制度；③人员管理制度；④考核制度； 二、评审标准 1、完整性：方案全面，对评审内容中的各项要求有详细描述； 2、可行性：切合本项目实际情况，提出步骤清晰、合理的方案； 三、赋分标准 ①财务管理制度：每完全满足一个评审标准得1分，满分2分； ②台账管理制度：每完全满足一个评审标准得1分，满分2分； ③人员管理制度：每完全满足一个评审标准得1分，满分2分； ④考核制度：每完全满足一个评审标准得1分，满分2分；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①熟悉车辆年检流程；②针对需要复检的车辆，提供复检车辆的检测方案；③提供车辆安全保障措施，保障车辆在年检过程中不被损坏；④年检车辆审验地址，遵循相对曲江新区环卫车队就近审验原则；⑤ 针对不同类型车辆承诺具体的年检时限； 二、评审标准 1、完整性：方案全面，对评审内容中的各项要求有详细描述； 2、可行性：切合本项目实际情况，提出步骤清晰、合理的方案； 3、针对性：方案能够紧扣项目实际情况，内容科学合理。 三、赋分标准 ①熟悉车辆年检流程：每完全满足一个评审标准得2分，满分6分； ②针对需要复检的车辆，提供复检车辆的检测方案：每完全满足一个评审标准得2分，满分6分； ③提供车辆安全保障措施，保障车辆在年检过程中不被损坏：每完全满足一个评审标准得1分，满分3分； ④年检车辆审验地址，遵循相对曲江新区环卫车队就近审验原则：每完全满足一个评审标准得1分，满分3分； ⑤针对不同类型车辆承诺具体的年检时限：每完全满足一个评审标准得1分，满分3分； 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①职责分工；②相关项目经验③团队实力； 二、评审标准 1、合理性：内容合理，对评审内容中的各项要求有详细描述； 2、可行性：切合本标段实际情况，提出步骤清晰的方案； 2、针对性：紧扣项目实际情况需求，内容切实合理。 三、赋分标准 ①职责分工 ：每完全满足一个评审标准得1分 ，满分3分； ②相关项目经验：每完全满足一个评审标准得1分，满分3分； ③团队实力：每完全满足一个评审标准得1分，满分3分； 备注：须提供项目团队成员简历及相关证明材料（包括相关证书、以及磋商截止时间前六个月内任意一个月本单位为其缴纳社保的证明），未提供或提供不全的不计分。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绩效考核响应</w:t>
            </w:r>
          </w:p>
        </w:tc>
        <w:tc>
          <w:tcPr>
            <w:tcW w:type="dxa" w:w="2492"/>
          </w:tcPr>
          <w:p>
            <w:pPr>
              <w:pStyle w:val="null3"/>
            </w:pPr>
            <w:r>
              <w:rPr>
                <w:rFonts w:ascii="仿宋_GB2312" w:hAnsi="仿宋_GB2312" w:cs="仿宋_GB2312" w:eastAsia="仿宋_GB2312"/>
              </w:rPr>
              <w:t>为进一步加强车辆年检服务工作，促进车辆年检服务质量，采购人对项目完成情况进行绩效考核。供应商响应服务绩效考核承诺得2分，未响应不得分。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服务绩效考核承诺.docx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供应商应在响应文件中提供该供应商自2022年1月1日起至今的类似项目的业绩证明材料，提供1份业绩合同得1分，提供2份业绩合同得3分，提供3份业绩合同得6分，满分为6分，不得重复累计，不提供不得分。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详见附件：服务绩效考核承诺.docx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