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6A1F2">
      <w:pPr>
        <w:tabs>
          <w:tab w:val="left" w:pos="735"/>
        </w:tabs>
        <w:autoSpaceDE w:val="0"/>
        <w:autoSpaceDN w:val="0"/>
        <w:adjustRightInd w:val="0"/>
        <w:snapToGrid w:val="0"/>
        <w:spacing w:before="312" w:beforeLines="100" w:line="360" w:lineRule="auto"/>
        <w:ind w:left="600" w:leftChars="190" w:hanging="201" w:hangingChars="100"/>
        <w:rPr>
          <w:rFonts w:asciiTheme="minorEastAsia" w:hAnsiTheme="minorEastAsia"/>
          <w:b/>
          <w:bCs/>
          <w:sz w:val="20"/>
          <w:lang w:val="zh-CN"/>
        </w:rPr>
      </w:pPr>
      <w:r>
        <w:rPr>
          <w:rFonts w:hint="eastAsia" w:asciiTheme="minorEastAsia" w:hAnsiTheme="minorEastAsia"/>
          <w:b/>
          <w:bCs/>
          <w:sz w:val="20"/>
          <w:lang w:val="zh-CN"/>
        </w:rPr>
        <w:t>甲方：</w:t>
      </w:r>
      <w:r>
        <w:rPr>
          <w:rFonts w:hint="eastAsia" w:asciiTheme="minorEastAsia" w:hAnsiTheme="minorEastAsia"/>
          <w:bCs/>
          <w:sz w:val="20"/>
          <w:lang w:val="zh-CN"/>
        </w:rPr>
        <w:t>（前款所称采购人）         住所：</w:t>
      </w:r>
    </w:p>
    <w:p w14:paraId="24B36291">
      <w:pPr>
        <w:tabs>
          <w:tab w:val="left" w:pos="735"/>
        </w:tabs>
        <w:autoSpaceDE w:val="0"/>
        <w:autoSpaceDN w:val="0"/>
        <w:adjustRightInd w:val="0"/>
        <w:snapToGrid w:val="0"/>
        <w:spacing w:line="360" w:lineRule="auto"/>
        <w:ind w:firstLine="402" w:firstLineChars="200"/>
        <w:rPr>
          <w:rFonts w:asciiTheme="minorEastAsia" w:hAnsiTheme="minorEastAsia"/>
          <w:bCs/>
          <w:sz w:val="20"/>
          <w:lang w:val="zh-CN"/>
        </w:rPr>
      </w:pPr>
      <w:r>
        <w:rPr>
          <w:rFonts w:hint="eastAsia" w:asciiTheme="minorEastAsia" w:hAnsiTheme="minorEastAsia"/>
          <w:b/>
          <w:bCs/>
          <w:sz w:val="20"/>
          <w:lang w:val="zh-CN"/>
        </w:rPr>
        <w:t>乙方：</w:t>
      </w:r>
      <w:r>
        <w:rPr>
          <w:rFonts w:hint="eastAsia" w:asciiTheme="minorEastAsia" w:hAnsiTheme="minorEastAsia"/>
          <w:bCs/>
          <w:sz w:val="20"/>
          <w:lang w:val="zh-CN"/>
        </w:rPr>
        <w:t>（前款所称成交供应商）     住所：</w:t>
      </w:r>
    </w:p>
    <w:p w14:paraId="77030030">
      <w:pPr>
        <w:adjustRightInd w:val="0"/>
        <w:snapToGrid w:val="0"/>
        <w:spacing w:line="360" w:lineRule="auto"/>
        <w:ind w:firstLine="400" w:firstLineChars="200"/>
        <w:rPr>
          <w:rFonts w:asciiTheme="minorEastAsia" w:hAnsiTheme="minorEastAsia"/>
          <w:sz w:val="20"/>
        </w:rPr>
      </w:pPr>
      <w:bookmarkStart w:id="0" w:name="_Toc19515384"/>
      <w:r>
        <w:rPr>
          <w:rFonts w:hint="eastAsia" w:asciiTheme="minorEastAsia" w:hAnsiTheme="minorEastAsia"/>
          <w:sz w:val="20"/>
        </w:rPr>
        <w:t>一、合同内容（标的、数量、质量等）:</w:t>
      </w:r>
      <w:bookmarkEnd w:id="0"/>
    </w:p>
    <w:p w14:paraId="6A5C703C">
      <w:pPr>
        <w:adjustRightInd w:val="0"/>
        <w:snapToGrid w:val="0"/>
        <w:spacing w:line="360" w:lineRule="auto"/>
        <w:ind w:firstLine="400" w:firstLineChars="200"/>
        <w:rPr>
          <w:rFonts w:asciiTheme="minorEastAsia" w:hAnsiTheme="minorEastAsia"/>
          <w:sz w:val="20"/>
        </w:rPr>
      </w:pPr>
      <w:bookmarkStart w:id="1" w:name="_Toc19515385"/>
      <w:r>
        <w:rPr>
          <w:rFonts w:hint="eastAsia" w:asciiTheme="minorEastAsia" w:hAnsiTheme="minorEastAsia"/>
          <w:sz w:val="20"/>
        </w:rPr>
        <w:t>二、合同价款</w:t>
      </w:r>
      <w:bookmarkEnd w:id="1"/>
    </w:p>
    <w:p w14:paraId="2BA5E74D">
      <w:pPr>
        <w:adjustRightInd w:val="0"/>
        <w:snapToGrid w:val="0"/>
        <w:spacing w:line="360" w:lineRule="auto"/>
        <w:ind w:firstLine="400" w:firstLineChars="200"/>
        <w:rPr>
          <w:rFonts w:asciiTheme="minorEastAsia" w:hAnsiTheme="minorEastAsia"/>
          <w:sz w:val="20"/>
          <w:u w:val="single"/>
        </w:rPr>
      </w:pPr>
      <w:r>
        <w:rPr>
          <w:rFonts w:hint="eastAsia" w:asciiTheme="minorEastAsia" w:hAnsiTheme="minorEastAsia"/>
          <w:sz w:val="20"/>
        </w:rPr>
        <w:t>1、合同总价：</w:t>
      </w:r>
      <w:r>
        <w:rPr>
          <w:rFonts w:hint="eastAsia" w:asciiTheme="minorEastAsia" w:hAnsiTheme="minorEastAsia"/>
          <w:sz w:val="20"/>
          <w:u w:val="single"/>
        </w:rPr>
        <w:t xml:space="preserve">                   </w:t>
      </w:r>
    </w:p>
    <w:p w14:paraId="1061E872">
      <w:pPr>
        <w:autoSpaceDE w:val="0"/>
        <w:autoSpaceDN w:val="0"/>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2、合同总价包括：所有车辆年检费、人工费及完成年检的一切相关费用。</w:t>
      </w:r>
    </w:p>
    <w:p w14:paraId="59CBE589">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lang w:val="en-US" w:eastAsia="zh-CN"/>
        </w:rPr>
        <w:t>3</w:t>
      </w:r>
      <w:r>
        <w:rPr>
          <w:rFonts w:hint="eastAsia" w:asciiTheme="minorEastAsia" w:hAnsiTheme="minorEastAsia"/>
          <w:sz w:val="20"/>
        </w:rPr>
        <w:t>、合同总价一次包死，不受市场价变化的影响。</w:t>
      </w:r>
    </w:p>
    <w:p w14:paraId="0ED5157F">
      <w:pPr>
        <w:adjustRightInd w:val="0"/>
        <w:snapToGrid w:val="0"/>
        <w:spacing w:line="360" w:lineRule="auto"/>
        <w:ind w:firstLine="400" w:firstLineChars="200"/>
        <w:rPr>
          <w:rFonts w:asciiTheme="minorEastAsia" w:hAnsiTheme="minorEastAsia"/>
          <w:sz w:val="20"/>
        </w:rPr>
      </w:pPr>
      <w:bookmarkStart w:id="2" w:name="_Toc19515386"/>
      <w:r>
        <w:rPr>
          <w:rFonts w:hint="eastAsia" w:asciiTheme="minorEastAsia" w:hAnsiTheme="minorEastAsia"/>
          <w:sz w:val="20"/>
        </w:rPr>
        <w:t>三、合同结算</w:t>
      </w:r>
      <w:bookmarkEnd w:id="2"/>
    </w:p>
    <w:p w14:paraId="7B0ABE99">
      <w:pPr>
        <w:adjustRightInd w:val="0"/>
        <w:snapToGrid w:val="0"/>
        <w:spacing w:line="360" w:lineRule="auto"/>
        <w:ind w:firstLine="400" w:firstLineChars="200"/>
        <w:rPr>
          <w:rFonts w:hint="eastAsia" w:asciiTheme="minorEastAsia" w:hAnsiTheme="minorEastAsia" w:eastAsiaTheme="minorEastAsia"/>
          <w:b/>
          <w:bCs/>
          <w:sz w:val="20"/>
          <w:lang w:val="en-US" w:eastAsia="zh-CN"/>
        </w:rPr>
      </w:pPr>
      <w:r>
        <w:rPr>
          <w:rFonts w:hint="eastAsia" w:asciiTheme="minorEastAsia" w:hAnsiTheme="minorEastAsia"/>
          <w:sz w:val="20"/>
        </w:rPr>
        <w:t>1、资金支付条件及时间：根据每季度实际通过年检的车辆总费用，在下一个季度初目标绩效考核合格</w:t>
      </w:r>
      <w:r>
        <w:rPr>
          <w:rFonts w:hint="eastAsia" w:asciiTheme="minorEastAsia" w:hAnsiTheme="minorEastAsia"/>
          <w:sz w:val="20"/>
          <w:lang w:val="en-US" w:eastAsia="zh-CN"/>
        </w:rPr>
        <w:t>后</w:t>
      </w:r>
      <w:r>
        <w:rPr>
          <w:rFonts w:hint="eastAsia" w:asciiTheme="minorEastAsia" w:hAnsiTheme="minorEastAsia"/>
          <w:sz w:val="20"/>
        </w:rPr>
        <w:t>，支付上一个季度确认费用</w:t>
      </w:r>
      <w:r>
        <w:rPr>
          <w:rFonts w:hint="eastAsia" w:asciiTheme="minorEastAsia" w:hAnsiTheme="minorEastAsia"/>
          <w:sz w:val="20"/>
          <w:lang w:val="en-US" w:eastAsia="zh-CN"/>
        </w:rPr>
        <w:t>,</w:t>
      </w:r>
      <w:r>
        <w:rPr>
          <w:rFonts w:hint="eastAsia" w:asciiTheme="minorEastAsia" w:hAnsiTheme="minorEastAsia"/>
          <w:sz w:val="20"/>
        </w:rPr>
        <w:t>按季度据实结算。</w:t>
      </w:r>
    </w:p>
    <w:p w14:paraId="0E3AD27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2、结算方式：银行转账。</w:t>
      </w:r>
    </w:p>
    <w:p w14:paraId="578FBA5B">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3、结算单位：由</w:t>
      </w:r>
      <w:r>
        <w:rPr>
          <w:rFonts w:hint="eastAsia" w:asciiTheme="minorEastAsia" w:hAnsiTheme="minorEastAsia"/>
          <w:sz w:val="20"/>
          <w:u w:val="single"/>
        </w:rPr>
        <w:t xml:space="preserve">  甲方 </w:t>
      </w:r>
      <w:r>
        <w:rPr>
          <w:rFonts w:hint="eastAsia" w:asciiTheme="minorEastAsia" w:hAnsiTheme="minorEastAsia"/>
          <w:sz w:val="20"/>
        </w:rPr>
        <w:t>负责结算，乙方开具合同总</w:t>
      </w:r>
      <w:bookmarkStart w:id="8" w:name="_GoBack"/>
      <w:bookmarkEnd w:id="8"/>
      <w:r>
        <w:rPr>
          <w:rFonts w:hint="eastAsia" w:asciiTheme="minorEastAsia" w:hAnsiTheme="minorEastAsia"/>
          <w:sz w:val="20"/>
        </w:rPr>
        <w:t>价数的全额发票交采购人。</w:t>
      </w:r>
    </w:p>
    <w:p w14:paraId="6EB8C749">
      <w:pPr>
        <w:adjustRightInd w:val="0"/>
        <w:snapToGrid w:val="0"/>
        <w:spacing w:line="360" w:lineRule="auto"/>
        <w:ind w:firstLine="400" w:firstLineChars="200"/>
        <w:rPr>
          <w:rFonts w:asciiTheme="minorEastAsia" w:hAnsiTheme="minorEastAsia"/>
          <w:sz w:val="20"/>
        </w:rPr>
      </w:pPr>
      <w:bookmarkStart w:id="3" w:name="_Toc19515387"/>
      <w:r>
        <w:rPr>
          <w:rFonts w:hint="eastAsia" w:asciiTheme="minorEastAsia" w:hAnsiTheme="minorEastAsia"/>
          <w:sz w:val="20"/>
        </w:rPr>
        <w:t>四、履行期限、地点及方式:</w:t>
      </w:r>
      <w:bookmarkEnd w:id="3"/>
    </w:p>
    <w:p w14:paraId="3FE52616">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1、履行期限：合同签订后一年</w:t>
      </w:r>
    </w:p>
    <w:p w14:paraId="6EA59209">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2、地点：采购人指定地点。</w:t>
      </w:r>
    </w:p>
    <w:p w14:paraId="69D2A34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3、方式：按照采购人指定方式。</w:t>
      </w:r>
    </w:p>
    <w:p w14:paraId="5DC915F8">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五、</w:t>
      </w:r>
      <w:r>
        <w:rPr>
          <w:rFonts w:asciiTheme="minorEastAsia" w:hAnsiTheme="minorEastAsia"/>
          <w:sz w:val="20"/>
        </w:rPr>
        <w:t>甲方的权利和义务</w:t>
      </w:r>
    </w:p>
    <w:p w14:paraId="2B971D39">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1、甲方有权对合同规定范围内乙方的服务行为进行监督和检查，拥有监管权。</w:t>
      </w:r>
    </w:p>
    <w:p w14:paraId="4BC42FFC">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2、负责检查监督乙方管理工作的实施及制度的执行情况。</w:t>
      </w:r>
    </w:p>
    <w:p w14:paraId="62577AE3">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3、根据本合同规定，按时向乙方支付应付服务费用。</w:t>
      </w:r>
    </w:p>
    <w:p w14:paraId="33397BD3">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4、国家法律、法规所规定由甲方承担的其它责任。</w:t>
      </w:r>
    </w:p>
    <w:p w14:paraId="7422001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5、甲方有权向乙方提出整改建议和意见。</w:t>
      </w:r>
    </w:p>
    <w:p w14:paraId="4E18FE13">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6、甲方负责监督、检查乙方提供服务的工作进度、质量情况。</w:t>
      </w:r>
    </w:p>
    <w:p w14:paraId="06E8A65F">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六、</w:t>
      </w:r>
      <w:r>
        <w:rPr>
          <w:rFonts w:asciiTheme="minorEastAsia" w:hAnsiTheme="minorEastAsia"/>
          <w:sz w:val="20"/>
        </w:rPr>
        <w:t>乙方的权利和义务</w:t>
      </w:r>
    </w:p>
    <w:p w14:paraId="3309D707">
      <w:pPr>
        <w:adjustRightInd w:val="0"/>
        <w:snapToGrid w:val="0"/>
        <w:spacing w:line="360" w:lineRule="auto"/>
        <w:ind w:firstLine="400" w:firstLineChars="200"/>
        <w:rPr>
          <w:rFonts w:asciiTheme="minorEastAsia" w:hAnsiTheme="minorEastAsia"/>
          <w:sz w:val="20"/>
        </w:rPr>
      </w:pPr>
      <w:bookmarkStart w:id="4" w:name="_Toc19515392"/>
      <w:r>
        <w:rPr>
          <w:rFonts w:hint="eastAsia" w:asciiTheme="minorEastAsia" w:hAnsiTheme="minorEastAsia"/>
          <w:sz w:val="20"/>
        </w:rPr>
        <w:t>1、对本合同规定的委托服务范围内的项目享有管理权及服务义务。</w:t>
      </w:r>
    </w:p>
    <w:p w14:paraId="61CC609C">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2、根据本合同的规定向甲方收取相关服务费用，并有权在本项目管理范围内管理及合理使用。</w:t>
      </w:r>
    </w:p>
    <w:p w14:paraId="1FFD9DE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3、及时向甲方通告本项目服务范围内有关服务的重大事项，及时配合处理投诉。</w:t>
      </w:r>
    </w:p>
    <w:p w14:paraId="76A1B352">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4、接受项目行业管理部门及政府有关部门的指导，接受甲方的监督。</w:t>
      </w:r>
    </w:p>
    <w:p w14:paraId="5B46D11C">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5、国家法律、法规所规定由乙方承担的其它责任。</w:t>
      </w:r>
    </w:p>
    <w:p w14:paraId="60ED4E8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七、违约责任</w:t>
      </w:r>
      <w:bookmarkEnd w:id="4"/>
    </w:p>
    <w:p w14:paraId="274FF542">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1、违约责任按《中华人民共和国民法典》处理中的相关条款执行。</w:t>
      </w:r>
    </w:p>
    <w:p w14:paraId="0A5D42D8">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2、乙方应按合同约定时间完成各阶段合同义务，若发生延迟，乙方应向甲方支付合同总价款10%的违约金，且甲方有权单方解除本合同。但甲方书面同意延迟或因甲方原因导致延迟的，乙方不承担违约责任。</w:t>
      </w:r>
    </w:p>
    <w:p w14:paraId="44E2665D">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3、如甲方未能在本合同约定时间内支付款项，每延迟一天，甲方须向乙方承担迟延支付费用的0.5‰作为违约金，并将服务周期予以相应顺延。</w:t>
      </w:r>
    </w:p>
    <w:p w14:paraId="222814F7">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4、本次活动因乙方原因导致侵害甲方或第三方合法权益的，应由乙方承担相应赔偿责任，并向甲方支付合同总价款10%的违约金。</w:t>
      </w:r>
    </w:p>
    <w:p w14:paraId="0F27EDDE">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5、若乙方未经甲方同意泄露本合同约定的任何秘密信息的，乙方应按照合同总价款的10%向甲方支付违约金，并赔偿因此给甲方造成的损失。</w:t>
      </w:r>
    </w:p>
    <w:p w14:paraId="03E810BD">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20C4636E">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八、不可抗力事件处理</w:t>
      </w:r>
    </w:p>
    <w:p w14:paraId="0451C12E">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E64D760">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33DF43DC">
      <w:pPr>
        <w:adjustRightInd w:val="0"/>
        <w:snapToGrid w:val="0"/>
        <w:spacing w:line="360" w:lineRule="auto"/>
        <w:ind w:firstLine="400" w:firstLineChars="200"/>
        <w:rPr>
          <w:rFonts w:asciiTheme="minorEastAsia" w:hAnsiTheme="minorEastAsia"/>
          <w:sz w:val="20"/>
        </w:rPr>
      </w:pPr>
      <w:bookmarkStart w:id="5" w:name="_Toc19515393"/>
      <w:r>
        <w:rPr>
          <w:rFonts w:hint="eastAsia" w:asciiTheme="minorEastAsia" w:hAnsiTheme="minorEastAsia"/>
          <w:sz w:val="20"/>
        </w:rPr>
        <w:t>九、合同组成</w:t>
      </w:r>
      <w:bookmarkEnd w:id="5"/>
    </w:p>
    <w:p w14:paraId="38EDBFA4">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1、成交通知书</w:t>
      </w:r>
    </w:p>
    <w:p w14:paraId="07005355">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2、合同文件</w:t>
      </w:r>
    </w:p>
    <w:p w14:paraId="5A191483">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3、国家相关规范及标准</w:t>
      </w:r>
    </w:p>
    <w:p w14:paraId="45A911C9">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4、竞争性磋商文件</w:t>
      </w:r>
    </w:p>
    <w:p w14:paraId="6D242CA1">
      <w:pPr>
        <w:adjustRightInd w:val="0"/>
        <w:snapToGrid w:val="0"/>
        <w:spacing w:line="360" w:lineRule="auto"/>
        <w:ind w:firstLine="400" w:firstLineChars="200"/>
        <w:rPr>
          <w:rFonts w:asciiTheme="minorEastAsia" w:hAnsiTheme="minorEastAsia"/>
          <w:sz w:val="20"/>
        </w:rPr>
      </w:pPr>
      <w:r>
        <w:rPr>
          <w:rFonts w:hint="eastAsia" w:asciiTheme="minorEastAsia" w:hAnsiTheme="minorEastAsia"/>
          <w:sz w:val="20"/>
        </w:rPr>
        <w:t>5、磋商响应文件</w:t>
      </w:r>
    </w:p>
    <w:p w14:paraId="4E9F5B67">
      <w:pPr>
        <w:adjustRightInd w:val="0"/>
        <w:snapToGrid w:val="0"/>
        <w:spacing w:line="360" w:lineRule="auto"/>
        <w:ind w:firstLine="400" w:firstLineChars="200"/>
        <w:rPr>
          <w:rFonts w:asciiTheme="minorEastAsia" w:hAnsiTheme="minorEastAsia"/>
          <w:sz w:val="20"/>
        </w:rPr>
      </w:pPr>
      <w:bookmarkStart w:id="6" w:name="_Toc19515394"/>
      <w:r>
        <w:rPr>
          <w:rFonts w:hint="eastAsia" w:asciiTheme="minorEastAsia" w:hAnsiTheme="minorEastAsia"/>
          <w:sz w:val="20"/>
        </w:rPr>
        <w:t>十、解决争议的方法</w:t>
      </w:r>
      <w:bookmarkEnd w:id="6"/>
    </w:p>
    <w:p w14:paraId="0FC1788B">
      <w:pPr>
        <w:widowControl/>
        <w:autoSpaceDE w:val="0"/>
        <w:autoSpaceDN w:val="0"/>
        <w:snapToGrid w:val="0"/>
        <w:spacing w:line="360" w:lineRule="auto"/>
        <w:ind w:right="-110" w:firstLine="400" w:firstLineChars="200"/>
        <w:textAlignment w:val="bottom"/>
        <w:rPr>
          <w:rFonts w:asciiTheme="minorEastAsia" w:hAnsiTheme="minorEastAsia"/>
          <w:kern w:val="0"/>
          <w:sz w:val="20"/>
        </w:rPr>
      </w:pPr>
      <w:r>
        <w:rPr>
          <w:rFonts w:hint="eastAsia" w:asciiTheme="minorEastAsia" w:hAnsiTheme="minorEastAsia"/>
          <w:kern w:val="0"/>
          <w:sz w:val="20"/>
        </w:rPr>
        <w:t>凡因本合同引起的或与本合同有关的争议，双方应友好协商解决。协商不成时，双方均同意采用以下第（  ）种争议解决方式：</w:t>
      </w:r>
    </w:p>
    <w:p w14:paraId="39D85BE6">
      <w:pPr>
        <w:widowControl/>
        <w:autoSpaceDE w:val="0"/>
        <w:autoSpaceDN w:val="0"/>
        <w:snapToGrid w:val="0"/>
        <w:spacing w:line="360" w:lineRule="auto"/>
        <w:ind w:right="-110" w:firstLine="400" w:firstLineChars="200"/>
        <w:textAlignment w:val="bottom"/>
        <w:rPr>
          <w:rFonts w:asciiTheme="minorEastAsia" w:hAnsiTheme="minorEastAsia"/>
          <w:kern w:val="0"/>
          <w:sz w:val="20"/>
        </w:rPr>
      </w:pPr>
      <w:r>
        <w:rPr>
          <w:rFonts w:hint="eastAsia" w:asciiTheme="minorEastAsia" w:hAnsiTheme="minorEastAsia"/>
          <w:kern w:val="0"/>
          <w:sz w:val="20"/>
        </w:rPr>
        <w:t>（1）甲、乙双方均同意向（甲方所在地人民法院）提起诉讼。</w:t>
      </w:r>
    </w:p>
    <w:p w14:paraId="4440222D">
      <w:pPr>
        <w:widowControl/>
        <w:autoSpaceDE w:val="0"/>
        <w:autoSpaceDN w:val="0"/>
        <w:snapToGrid w:val="0"/>
        <w:spacing w:line="360" w:lineRule="auto"/>
        <w:ind w:right="-110" w:firstLine="400" w:firstLineChars="200"/>
        <w:textAlignment w:val="bottom"/>
        <w:rPr>
          <w:rFonts w:asciiTheme="minorEastAsia" w:hAnsiTheme="minorEastAsia"/>
          <w:kern w:val="0"/>
          <w:sz w:val="20"/>
        </w:rPr>
      </w:pPr>
      <w:r>
        <w:rPr>
          <w:rFonts w:hint="eastAsia" w:asciiTheme="minorEastAsia" w:hAnsiTheme="minorEastAsia"/>
          <w:kern w:val="0"/>
          <w:sz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Theme="minorEastAsia" w:hAnsiTheme="minorEastAsia"/>
          <w:kern w:val="0"/>
          <w:sz w:val="20"/>
        </w:rPr>
        <w:t>仲裁委员会</w:t>
      </w:r>
      <w:r>
        <w:rPr>
          <w:rFonts w:hint="eastAsia" w:asciiTheme="minorEastAsia" w:hAnsiTheme="minorEastAsia"/>
          <w:kern w:val="0"/>
          <w:sz w:val="20"/>
        </w:rPr>
        <w:fldChar w:fldCharType="end"/>
      </w:r>
      <w:r>
        <w:rPr>
          <w:rFonts w:hint="eastAsia" w:asciiTheme="minorEastAsia" w:hAnsiTheme="minorEastAsia"/>
          <w:kern w:val="0"/>
          <w:sz w:val="20"/>
        </w:rPr>
        <w:t>）提起仲裁。</w:t>
      </w:r>
    </w:p>
    <w:p w14:paraId="3177FB3A">
      <w:pPr>
        <w:adjustRightInd w:val="0"/>
        <w:snapToGrid w:val="0"/>
        <w:spacing w:line="360" w:lineRule="auto"/>
        <w:ind w:firstLine="400" w:firstLineChars="200"/>
        <w:rPr>
          <w:rFonts w:asciiTheme="minorEastAsia" w:hAnsiTheme="minorEastAsia"/>
          <w:sz w:val="20"/>
        </w:rPr>
      </w:pPr>
      <w:bookmarkStart w:id="7" w:name="_Toc19515395"/>
      <w:r>
        <w:rPr>
          <w:rFonts w:hint="eastAsia" w:asciiTheme="minorEastAsia" w:hAnsiTheme="minorEastAsia"/>
          <w:sz w:val="20"/>
        </w:rPr>
        <w:t>十一、合同生效及其它</w:t>
      </w:r>
      <w:bookmarkEnd w:id="7"/>
    </w:p>
    <w:p w14:paraId="056E5E90">
      <w:pPr>
        <w:widowControl/>
        <w:autoSpaceDE w:val="0"/>
        <w:autoSpaceDN w:val="0"/>
        <w:snapToGrid w:val="0"/>
        <w:spacing w:line="360" w:lineRule="auto"/>
        <w:ind w:right="-110" w:firstLine="400" w:firstLineChars="200"/>
        <w:textAlignment w:val="bottom"/>
        <w:rPr>
          <w:rFonts w:asciiTheme="minorEastAsia" w:hAnsiTheme="minorEastAsia"/>
          <w:kern w:val="0"/>
          <w:sz w:val="20"/>
        </w:rPr>
      </w:pPr>
      <w:r>
        <w:rPr>
          <w:rFonts w:hint="eastAsia" w:asciiTheme="minorEastAsia" w:hAnsiTheme="minorEastAsia"/>
          <w:kern w:val="0"/>
          <w:sz w:val="20"/>
        </w:rPr>
        <w:t>1、合同未尽事宜、由甲、乙双方协商，作为合同补充，与原合同具有同等法律效力。</w:t>
      </w:r>
    </w:p>
    <w:p w14:paraId="6921D2F0">
      <w:pPr>
        <w:widowControl/>
        <w:tabs>
          <w:tab w:val="left" w:pos="8391"/>
        </w:tabs>
        <w:autoSpaceDE w:val="0"/>
        <w:autoSpaceDN w:val="0"/>
        <w:snapToGrid w:val="0"/>
        <w:spacing w:line="360" w:lineRule="auto"/>
        <w:ind w:right="-69" w:firstLine="400" w:firstLineChars="200"/>
        <w:textAlignment w:val="bottom"/>
        <w:rPr>
          <w:rFonts w:asciiTheme="minorEastAsia" w:hAnsiTheme="minorEastAsia"/>
          <w:kern w:val="0"/>
          <w:sz w:val="20"/>
        </w:rPr>
      </w:pPr>
      <w:r>
        <w:rPr>
          <w:rFonts w:hint="eastAsia" w:asciiTheme="minorEastAsia" w:hAnsiTheme="minorEastAsia"/>
          <w:kern w:val="0"/>
          <w:sz w:val="20"/>
        </w:rPr>
        <w:t>2、 本合同一式</w:t>
      </w:r>
      <w:r>
        <w:rPr>
          <w:rFonts w:hint="eastAsia" w:asciiTheme="minorEastAsia" w:hAnsiTheme="minorEastAsia"/>
          <w:kern w:val="0"/>
          <w:sz w:val="20"/>
          <w:u w:val="single"/>
        </w:rPr>
        <w:t xml:space="preserve">  </w:t>
      </w:r>
      <w:r>
        <w:rPr>
          <w:rFonts w:hint="eastAsia" w:asciiTheme="minorEastAsia" w:hAnsiTheme="minorEastAsia"/>
          <w:kern w:val="0"/>
          <w:sz w:val="20"/>
        </w:rPr>
        <w:t>份，甲方、乙方双方分别执</w:t>
      </w:r>
      <w:r>
        <w:rPr>
          <w:rFonts w:hint="eastAsia" w:asciiTheme="minorEastAsia" w:hAnsiTheme="minorEastAsia"/>
          <w:kern w:val="0"/>
          <w:sz w:val="20"/>
          <w:u w:val="single"/>
        </w:rPr>
        <w:t xml:space="preserve">  </w:t>
      </w:r>
      <w:r>
        <w:rPr>
          <w:rFonts w:hint="eastAsia" w:asciiTheme="minorEastAsia" w:hAnsiTheme="minorEastAsia"/>
          <w:kern w:val="0"/>
          <w:sz w:val="20"/>
        </w:rPr>
        <w:t>份，</w:t>
      </w:r>
      <w:r>
        <w:rPr>
          <w:rFonts w:hint="eastAsia" w:asciiTheme="minorEastAsia" w:hAnsiTheme="minorEastAsia"/>
          <w:kern w:val="0"/>
          <w:sz w:val="20"/>
          <w:u w:val="single"/>
        </w:rPr>
        <w:t xml:space="preserve">   </w:t>
      </w:r>
      <w:r>
        <w:rPr>
          <w:rFonts w:hint="eastAsia" w:asciiTheme="minorEastAsia" w:hAnsiTheme="minorEastAsia"/>
          <w:kern w:val="0"/>
          <w:sz w:val="20"/>
        </w:rPr>
        <w:t>备案</w:t>
      </w:r>
      <w:r>
        <w:rPr>
          <w:rFonts w:hint="eastAsia" w:asciiTheme="minorEastAsia" w:hAnsiTheme="minorEastAsia"/>
          <w:kern w:val="0"/>
          <w:sz w:val="20"/>
          <w:u w:val="single"/>
        </w:rPr>
        <w:t xml:space="preserve">  </w:t>
      </w:r>
      <w:r>
        <w:rPr>
          <w:rFonts w:hint="eastAsia" w:asciiTheme="minorEastAsia" w:hAnsiTheme="minorEastAsia"/>
          <w:kern w:val="0"/>
          <w:sz w:val="20"/>
        </w:rPr>
        <w:t>份。</w:t>
      </w:r>
    </w:p>
    <w:p w14:paraId="46D24AC2">
      <w:pPr>
        <w:widowControl/>
        <w:tabs>
          <w:tab w:val="left" w:pos="8391"/>
        </w:tabs>
        <w:autoSpaceDE w:val="0"/>
        <w:autoSpaceDN w:val="0"/>
        <w:snapToGrid w:val="0"/>
        <w:spacing w:line="360" w:lineRule="auto"/>
        <w:ind w:right="-69" w:firstLine="400" w:firstLineChars="200"/>
        <w:textAlignment w:val="bottom"/>
        <w:rPr>
          <w:rFonts w:asciiTheme="minorEastAsia" w:hAnsiTheme="minorEastAsia"/>
          <w:kern w:val="0"/>
          <w:sz w:val="20"/>
        </w:rPr>
      </w:pPr>
      <w:r>
        <w:rPr>
          <w:rFonts w:hint="eastAsia" w:asciiTheme="minorEastAsia" w:hAnsiTheme="minorEastAsia"/>
          <w:kern w:val="0"/>
          <w:sz w:val="20"/>
        </w:rPr>
        <w:t>3、合同经甲乙双方盖章、签字后生效，合同签订地点为</w:t>
      </w:r>
      <w:r>
        <w:rPr>
          <w:rFonts w:hint="eastAsia" w:asciiTheme="minorEastAsia" w:hAnsiTheme="minorEastAsia"/>
          <w:kern w:val="0"/>
          <w:sz w:val="20"/>
          <w:u w:val="single"/>
        </w:rPr>
        <w:t xml:space="preserve">   </w:t>
      </w:r>
      <w:r>
        <w:rPr>
          <w:rFonts w:hint="eastAsia" w:asciiTheme="minorEastAsia" w:hAnsiTheme="minorEastAsia"/>
          <w:kern w:val="0"/>
          <w:sz w:val="20"/>
        </w:rPr>
        <w:t>。</w:t>
      </w:r>
    </w:p>
    <w:p w14:paraId="1998F70D">
      <w:pPr>
        <w:widowControl/>
        <w:tabs>
          <w:tab w:val="left" w:pos="8391"/>
        </w:tabs>
        <w:autoSpaceDE w:val="0"/>
        <w:autoSpaceDN w:val="0"/>
        <w:snapToGrid w:val="0"/>
        <w:spacing w:line="360" w:lineRule="auto"/>
        <w:ind w:right="-69" w:firstLine="400" w:firstLineChars="200"/>
        <w:textAlignment w:val="bottom"/>
        <w:rPr>
          <w:rFonts w:asciiTheme="minorEastAsia" w:hAnsiTheme="minorEastAsia"/>
          <w:kern w:val="0"/>
          <w:sz w:val="20"/>
        </w:rPr>
      </w:pPr>
      <w:r>
        <w:rPr>
          <w:rFonts w:hint="eastAsia" w:asciiTheme="minorEastAsia" w:hAnsiTheme="minorEastAsia"/>
          <w:kern w:val="0"/>
          <w:sz w:val="20"/>
        </w:rPr>
        <w:t>4、生效时间：   年  月  日</w:t>
      </w:r>
    </w:p>
    <w:p w14:paraId="62D72D25">
      <w:pPr>
        <w:widowControl/>
        <w:tabs>
          <w:tab w:val="left" w:pos="8391"/>
        </w:tabs>
        <w:autoSpaceDE w:val="0"/>
        <w:autoSpaceDN w:val="0"/>
        <w:snapToGrid w:val="0"/>
        <w:spacing w:line="360" w:lineRule="auto"/>
        <w:ind w:right="-69" w:firstLine="700" w:firstLineChars="350"/>
        <w:textAlignment w:val="bottom"/>
        <w:rPr>
          <w:rFonts w:asciiTheme="minorEastAsia" w:hAnsiTheme="minorEastAsia"/>
          <w:kern w:val="0"/>
          <w:sz w:val="20"/>
        </w:rPr>
      </w:pPr>
    </w:p>
    <w:tbl>
      <w:tblPr>
        <w:tblStyle w:val="6"/>
        <w:tblW w:w="0" w:type="auto"/>
        <w:jc w:val="center"/>
        <w:tblLayout w:type="fixed"/>
        <w:tblCellMar>
          <w:top w:w="0" w:type="dxa"/>
          <w:left w:w="108" w:type="dxa"/>
          <w:bottom w:w="0" w:type="dxa"/>
          <w:right w:w="108" w:type="dxa"/>
        </w:tblCellMar>
      </w:tblPr>
      <w:tblGrid>
        <w:gridCol w:w="4643"/>
        <w:gridCol w:w="4643"/>
      </w:tblGrid>
      <w:tr w14:paraId="4BCA57D8">
        <w:tblPrEx>
          <w:tblCellMar>
            <w:top w:w="0" w:type="dxa"/>
            <w:left w:w="108" w:type="dxa"/>
            <w:bottom w:w="0" w:type="dxa"/>
            <w:right w:w="108" w:type="dxa"/>
          </w:tblCellMar>
        </w:tblPrEx>
        <w:trPr>
          <w:jc w:val="center"/>
        </w:trPr>
        <w:tc>
          <w:tcPr>
            <w:tcW w:w="4643" w:type="dxa"/>
          </w:tcPr>
          <w:p w14:paraId="7AF5E2C4">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甲方名称</w:t>
            </w:r>
            <w:r>
              <w:rPr>
                <w:rFonts w:hint="eastAsia" w:asciiTheme="minorEastAsia" w:hAnsiTheme="minorEastAsia"/>
                <w:spacing w:val="-20"/>
                <w:kern w:val="0"/>
                <w:sz w:val="20"/>
              </w:rPr>
              <w:t>（盖章）</w:t>
            </w:r>
            <w:r>
              <w:rPr>
                <w:rFonts w:hint="eastAsia" w:asciiTheme="minorEastAsia" w:hAnsiTheme="minorEastAsia"/>
                <w:kern w:val="0"/>
                <w:sz w:val="20"/>
              </w:rPr>
              <w:t>:</w:t>
            </w:r>
          </w:p>
          <w:p w14:paraId="4EA32533">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地址：</w:t>
            </w:r>
          </w:p>
          <w:p w14:paraId="42FD9365">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代表人（签字）：</w:t>
            </w:r>
          </w:p>
          <w:p w14:paraId="4C5B2B78">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电话：</w:t>
            </w:r>
          </w:p>
          <w:p w14:paraId="5E902B61">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开户银行：</w:t>
            </w:r>
          </w:p>
          <w:p w14:paraId="590FF89F">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帐号：</w:t>
            </w:r>
          </w:p>
        </w:tc>
        <w:tc>
          <w:tcPr>
            <w:tcW w:w="4643" w:type="dxa"/>
          </w:tcPr>
          <w:p w14:paraId="22592B2E">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乙方名称</w:t>
            </w:r>
            <w:r>
              <w:rPr>
                <w:rFonts w:hint="eastAsia" w:asciiTheme="minorEastAsia" w:hAnsiTheme="minorEastAsia"/>
                <w:spacing w:val="-20"/>
                <w:kern w:val="0"/>
                <w:sz w:val="20"/>
              </w:rPr>
              <w:t>（盖章）</w:t>
            </w:r>
            <w:r>
              <w:rPr>
                <w:rFonts w:hint="eastAsia" w:asciiTheme="minorEastAsia" w:hAnsiTheme="minorEastAsia"/>
                <w:kern w:val="0"/>
                <w:sz w:val="20"/>
              </w:rPr>
              <w:t>:</w:t>
            </w:r>
          </w:p>
          <w:p w14:paraId="0A736897">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地址：</w:t>
            </w:r>
          </w:p>
          <w:p w14:paraId="4682F3E6">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代表人（签字）：</w:t>
            </w:r>
          </w:p>
          <w:p w14:paraId="3B863180">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电话：</w:t>
            </w:r>
          </w:p>
          <w:p w14:paraId="71402344">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开户银行：</w:t>
            </w:r>
          </w:p>
          <w:p w14:paraId="78214E23">
            <w:pPr>
              <w:widowControl/>
              <w:autoSpaceDE w:val="0"/>
              <w:autoSpaceDN w:val="0"/>
              <w:snapToGrid w:val="0"/>
              <w:spacing w:line="360" w:lineRule="auto"/>
              <w:ind w:right="-154"/>
              <w:textAlignment w:val="bottom"/>
              <w:rPr>
                <w:rFonts w:asciiTheme="minorEastAsia" w:hAnsiTheme="minorEastAsia"/>
                <w:kern w:val="0"/>
                <w:sz w:val="20"/>
              </w:rPr>
            </w:pPr>
            <w:r>
              <w:rPr>
                <w:rFonts w:hint="eastAsia" w:asciiTheme="minorEastAsia" w:hAnsiTheme="minorEastAsia"/>
                <w:kern w:val="0"/>
                <w:sz w:val="20"/>
              </w:rPr>
              <w:t>帐号：</w:t>
            </w:r>
          </w:p>
        </w:tc>
      </w:tr>
    </w:tbl>
    <w:p w14:paraId="4AFB1B4E"/>
    <w:p w14:paraId="67D3D5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20E2F"/>
    <w:rsid w:val="0A234E5D"/>
    <w:rsid w:val="143D0AB6"/>
    <w:rsid w:val="1EFA2BA5"/>
    <w:rsid w:val="22C42485"/>
    <w:rsid w:val="4B094738"/>
    <w:rsid w:val="50730F6A"/>
    <w:rsid w:val="5700753A"/>
    <w:rsid w:val="5A54512C"/>
    <w:rsid w:val="62C20E2F"/>
    <w:rsid w:val="6D350F65"/>
    <w:rsid w:val="6D5E4954"/>
    <w:rsid w:val="720708B2"/>
    <w:rsid w:val="76F66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line="360" w:lineRule="auto"/>
      <w:outlineLvl w:val="0"/>
    </w:pPr>
    <w:rPr>
      <w:rFonts w:ascii="Times New Roman" w:hAnsi="Times New Roman" w:eastAsia="宋体" w:cs="Times New Roman"/>
      <w:b/>
      <w:bCs/>
      <w:kern w:val="44"/>
      <w:sz w:val="44"/>
      <w:szCs w:val="44"/>
    </w:rPr>
  </w:style>
  <w:style w:type="paragraph" w:styleId="3">
    <w:name w:val="heading 2"/>
    <w:basedOn w:val="1"/>
    <w:next w:val="1"/>
    <w:semiHidden/>
    <w:unhideWhenUsed/>
    <w:qFormat/>
    <w:uiPriority w:val="0"/>
    <w:pPr>
      <w:keepNext/>
      <w:keepLines/>
      <w:adjustRightInd w:val="0"/>
      <w:snapToGrid w:val="0"/>
      <w:spacing w:beforeLines="0" w:beforeAutospacing="0" w:afterLines="0" w:afterAutospacing="0" w:line="360" w:lineRule="auto"/>
      <w:jc w:val="center"/>
      <w:outlineLvl w:val="1"/>
    </w:pPr>
    <w:rPr>
      <w:rFonts w:ascii="Arial" w:hAnsi="Arial" w:eastAsia="仿宋" w:cs="Times New Roman"/>
      <w:b/>
      <w:sz w:val="28"/>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标题 1 Char"/>
    <w:link w:val="2"/>
    <w:qFormat/>
    <w:locked/>
    <w:uiPriority w:val="0"/>
    <w:rPr>
      <w:rFonts w:ascii="Times New Roman" w:hAnsi="Times New Roman" w:eastAsia="宋体" w:cs="Times New Roman"/>
      <w:b/>
      <w:bCs/>
      <w:kern w:val="44"/>
      <w:sz w:val="44"/>
      <w:szCs w:val="4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1619</Words>
  <Characters>1630</Characters>
  <Lines>0</Lines>
  <Paragraphs>0</Paragraphs>
  <TotalTime>6</TotalTime>
  <ScaleCrop>false</ScaleCrop>
  <LinksUpToDate>false</LinksUpToDate>
  <CharactersWithSpaces>1688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2025-08-04T07:19:00Z</dcterms:created>
  <dc:creator>- Nanshan South ゜</dc:creator>
  <cp:lastModifiedBy>29680</cp:lastModifiedBy>
  <dcterms:modified xsi:type="dcterms:W3CDTF">2025-08-25T09:22:51Z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F264D2759EE94411BC4E24329E405B71_13</vt:lpwstr>
  </property>
  <property fmtid="{D5CDD505-2E9C-101B-9397-08002B2CF9AE}" pid="4" name="KSOTemplateDocerSaveRecord">
    <vt:lpwstr>eyJoZGlkIjoiZThmODc1ZWQyNDQ2OGI4MTZhYTQ3YmRlZTk2M2QxZTkiLCJ1c2VySWQiOiIxNjM3OTQxMzAxIn0=</vt:lpwstr>
  </property>
</Properties>
</file>