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版本号：SXSJ-202502420250828001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2025年曲江新区环卫车队车辆燃油采购项目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SXSJ-2025024</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陕西昇杰项目管理有限公司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陕西昇杰项目管理有限公司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2025年曲江新区环卫车队车辆燃油采购项目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SXSJ-2025024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2025年曲江新区环卫车队车辆燃油采购项目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曲江新区环卫车队位于曲江新区长鸣路南段路西，绕城高速高架桥以南。曲江新区环卫车队现有各类环卫车辆设备251辆(台),其中水车50辆(纯电动水车24辆)、 洗扫车55辆(纯电动洗扫车25辆)、吸尘车6辆、深度保洁车1辆、护栏清洗车3辆、工程车1辆、轻卡1辆、道路养护车1辆、面包车1辆、垃圾清运车12辆、扫路机 14台、墙面清洗车1辆、大型除雪车12辆、铲车1台、 手推磨盘清洗车15辆、抛雪机77台；2025年共有各类 燃油车辆及设备共计173辆(台)。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1、资质：投标人须具有有效的《危险化学品经营许可证》及《成品油零售经营批准证书》</w:t>
      </w:r>
    </w:p>
    <w:p>
      <w:pPr>
        <w:pStyle w:val="null3"/>
      </w:pPr>
      <w:r>
        <w:rPr>
          <w:rFonts w:ascii="仿宋_GB2312" w:hAnsi="仿宋_GB2312" w:cs="仿宋_GB2312" w:eastAsia="仿宋_GB2312"/>
        </w:rPr>
        <w:t>2、法定代表人授权书及被授权人身份证明：法定代表人直接参加投标的，须提供法定代表人身份证明及其身份证电子件或扫描件；法定代表人授权他人参加投标的，须提供法定代表人授权委托书（附法定代表人、被授权人身份证电子件或扫描件）；</w:t>
      </w:r>
    </w:p>
    <w:p>
      <w:pPr>
        <w:pStyle w:val="null3"/>
      </w:pPr>
      <w:r>
        <w:rPr>
          <w:rFonts w:ascii="仿宋_GB2312" w:hAnsi="仿宋_GB2312" w:cs="仿宋_GB2312" w:eastAsia="仿宋_GB2312"/>
        </w:rPr>
        <w:t>3、信用记录审查结果：投标人不得为“信用中国”网站（www.creditchina.gov.cn）中列入失信被执行人（页面跳转至“中国执行信息公开网”http://zxgk.court.gov.cn/shixin/）和重大税收违法失信主体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4、控股管理关系：单位负责人为同一人或者存在直接控股、管理关系的投标人，不得参加同一合同下的政府采购活动；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陕西昇杰项目管理有限公司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陕西省西安市高新区丈八一路泰维智链中心1期B栋2楼A01室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15332393126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的90%收取。 招标代理服务费公布方式：代理服务费金额将在中标公告中明确，成交单位在领取中标通知书前，须向采购代理机构一次性支付招标代理服务费。 中标服务费交纳账户： 名 称：陕西昇杰项目管理有限公司 开户行：中国建设银行股份有限公司西安徐家湾支行 账 号：61050175580000000622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陕西昇杰项目管理有限公司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陕西昇杰项目管理有限公司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陕西昇杰项目管理有限公司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合格，符合国家及行业验收标准。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联系人：付潭</w:t>
      </w:r>
    </w:p>
    <w:p>
      <w:pPr>
        <w:pStyle w:val="null3"/>
      </w:pPr>
      <w:r>
        <w:rPr>
          <w:rFonts w:ascii="仿宋_GB2312" w:hAnsi="仿宋_GB2312" w:cs="仿宋_GB2312" w:eastAsia="仿宋_GB2312"/>
        </w:rPr>
        <w:t>联系电话：15332393126</w:t>
      </w:r>
    </w:p>
    <w:p>
      <w:pPr>
        <w:pStyle w:val="null3"/>
      </w:pPr>
      <w:r>
        <w:rPr>
          <w:rFonts w:ascii="仿宋_GB2312" w:hAnsi="仿宋_GB2312" w:cs="仿宋_GB2312" w:eastAsia="仿宋_GB2312"/>
        </w:rPr>
        <w:t>地址：陕西省西安市高新区丈八一路泰维智链中心1期B栋2楼A01室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曲江新区环卫车队位于曲江新区长鸣路南段路西，绕城高速高架桥以南。曲江新区环卫车队现有各类环卫车辆设备251辆(台),其中水车50辆(纯电动水车24辆)、 洗扫车55辆(纯电动洗扫车25辆)、吸尘车6辆、深度保洁车1辆、护栏清洗车3辆、工程车1辆、轻卡1辆、道路养护车1辆、面包车1辆、垃圾清运车12辆、扫路机 14台、墙面清洗车1辆、大型除雪车12辆、铲车1台、 手推磨盘清洗车15辆、抛雪机77台；2025年共有各类 燃油车辆及设备共计173辆(台)。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2,520,000.00</w:t>
      </w:r>
    </w:p>
    <w:p>
      <w:pPr>
        <w:pStyle w:val="null3"/>
      </w:pPr>
      <w:r>
        <w:rPr>
          <w:rFonts w:ascii="仿宋_GB2312" w:hAnsi="仿宋_GB2312" w:cs="仿宋_GB2312" w:eastAsia="仿宋_GB2312"/>
        </w:rPr>
        <w:t>采购包最高限价（元）: 2,520,000.00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采购一家资质齐全，信誉良好，产品符合国标的油料供应单位。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标的名称：采购一家资质齐全，信誉良好，产品符合国标的油料供应单位。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一、项目概况</w:t>
            </w:r>
            <w:r>
              <w:br/>
            </w:r>
            <w:r>
              <w:rPr>
                <w:rFonts w:ascii="仿宋_GB2312" w:hAnsi="仿宋_GB2312" w:cs="仿宋_GB2312" w:eastAsia="仿宋_GB2312"/>
              </w:rPr>
              <w:t xml:space="preserve"> 曲江新区环卫车队位于曲江新区长鸣路南段路西，绕城高速高架桥以南。曲江新区环卫车队现有各类环卫车辆设备251辆(台),其中水车50辆(纯电动水车24辆)、 洗扫车55辆(纯电动洗扫车25辆)、吸尘车6辆、深度保洁车1辆、护栏清洗车3辆、工程车1辆、轻卡1辆、道路养护车1辆、面包车1辆、垃圾清运车12辆、扫路机 14台、墙面清洗车1辆、大型除雪车12辆、铲车1台、 手推磨盘清洗车15辆、抛雪机77台；2025年共有各类 燃油车辆及设备共计173辆(台)</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满足曲江新区环卫车队的车辆加油服务，采购的服务用油为车用92号汽油、0号柴油、-10号柴油。</w:t>
            </w:r>
          </w:p>
          <w:p>
            <w:pPr>
              <w:pStyle w:val="null3"/>
            </w:pPr>
            <w:r>
              <w:rPr>
                <w:rFonts w:ascii="仿宋_GB2312" w:hAnsi="仿宋_GB2312" w:cs="仿宋_GB2312" w:eastAsia="仿宋_GB2312"/>
              </w:rPr>
              <w:t>三、车辆数量</w:t>
            </w:r>
          </w:p>
          <w:p>
            <w:pPr>
              <w:pStyle w:val="null3"/>
            </w:pPr>
            <w:r>
              <w:rPr>
                <w:rFonts w:ascii="仿宋_GB2312" w:hAnsi="仿宋_GB2312" w:cs="仿宋_GB2312" w:eastAsia="仿宋_GB2312"/>
              </w:rPr>
              <w:t>本次服务的环卫车辆情况数量为汽油车13辆，柴油车160辆。（具体按照采购人实际车辆签订合同）</w:t>
            </w:r>
          </w:p>
          <w:p>
            <w:pPr>
              <w:pStyle w:val="null3"/>
            </w:pPr>
            <w:r>
              <w:rPr>
                <w:rFonts w:ascii="仿宋_GB2312" w:hAnsi="仿宋_GB2312" w:cs="仿宋_GB2312" w:eastAsia="仿宋_GB2312"/>
              </w:rPr>
              <w:t>四、油品质量要求：</w:t>
            </w:r>
          </w:p>
          <w:p>
            <w:pPr>
              <w:pStyle w:val="null3"/>
            </w:pPr>
            <w:r>
              <w:rPr>
                <w:rFonts w:ascii="仿宋_GB2312" w:hAnsi="仿宋_GB2312" w:cs="仿宋_GB2312" w:eastAsia="仿宋_GB2312"/>
              </w:rPr>
              <w:t>油品质量要符合国家强制性标准，加油设备、计量装置要符合国家强制性标准。</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1、履行期限：合同签订后一年。</w:t>
            </w:r>
          </w:p>
          <w:p>
            <w:pPr>
              <w:pStyle w:val="null3"/>
            </w:pPr>
            <w:r>
              <w:rPr>
                <w:rFonts w:ascii="仿宋_GB2312" w:hAnsi="仿宋_GB2312" w:cs="仿宋_GB2312" w:eastAsia="仿宋_GB2312"/>
              </w:rPr>
              <w:t>2、服务（交货）地点：本项目交货地点。</w:t>
            </w:r>
          </w:p>
          <w:p>
            <w:pPr>
              <w:pStyle w:val="null3"/>
            </w:pPr>
            <w:r>
              <w:rPr>
                <w:rFonts w:ascii="仿宋_GB2312" w:hAnsi="仿宋_GB2312" w:cs="仿宋_GB2312" w:eastAsia="仿宋_GB2312"/>
              </w:rPr>
              <w:t>3.质量标准：合格</w:t>
            </w:r>
          </w:p>
          <w:p>
            <w:pPr>
              <w:pStyle w:val="null3"/>
            </w:pPr>
            <w:r>
              <w:rPr>
                <w:rFonts w:ascii="仿宋_GB2312" w:hAnsi="仿宋_GB2312" w:cs="仿宋_GB2312" w:eastAsia="仿宋_GB2312"/>
              </w:rPr>
              <w:t>4.验收标准：符合国家及行业标准。</w:t>
            </w:r>
          </w:p>
          <w:p>
            <w:pPr>
              <w:pStyle w:val="null3"/>
            </w:pPr>
            <w:r>
              <w:rPr>
                <w:rFonts w:ascii="仿宋_GB2312" w:hAnsi="仿宋_GB2312" w:cs="仿宋_GB2312" w:eastAsia="仿宋_GB2312"/>
              </w:rPr>
              <w:t>六、项目总体要求：</w:t>
            </w:r>
          </w:p>
          <w:p>
            <w:pPr>
              <w:pStyle w:val="null3"/>
            </w:pPr>
            <w:r>
              <w:rPr>
                <w:rFonts w:ascii="仿宋_GB2312" w:hAnsi="仿宋_GB2312" w:cs="仿宋_GB2312" w:eastAsia="仿宋_GB2312"/>
              </w:rPr>
              <w:t>1、承接燃油单位或下属加油站应具有良好的管理体系，加油设施良好，消防设备齐全。</w:t>
            </w:r>
          </w:p>
          <w:p>
            <w:pPr>
              <w:pStyle w:val="null3"/>
            </w:pPr>
            <w:r>
              <w:rPr>
                <w:rFonts w:ascii="仿宋_GB2312" w:hAnsi="仿宋_GB2312" w:cs="仿宋_GB2312" w:eastAsia="仿宋_GB2312"/>
              </w:rPr>
              <w:t>2、售后服务：投标人针对本项目应提供专项服务小组人员和采购人联系，并能够为采购人提供发生紧急情况无法供油的紧急预案及应急措施。</w:t>
            </w:r>
          </w:p>
          <w:p>
            <w:pPr>
              <w:pStyle w:val="null3"/>
            </w:pPr>
            <w:r>
              <w:rPr>
                <w:rFonts w:ascii="仿宋_GB2312" w:hAnsi="仿宋_GB2312" w:cs="仿宋_GB2312" w:eastAsia="仿宋_GB2312"/>
              </w:rPr>
              <w:t>3、除了环卫车辆加油外，采购人的环卫设备在加油时候应给予同样的优惠率折扣（环卫设备可共用一张卡）。</w:t>
            </w:r>
          </w:p>
          <w:p>
            <w:pPr>
              <w:pStyle w:val="null3"/>
            </w:pPr>
            <w:r>
              <w:rPr>
                <w:rFonts w:ascii="仿宋_GB2312" w:hAnsi="仿宋_GB2312" w:cs="仿宋_GB2312" w:eastAsia="仿宋_GB2312"/>
              </w:rPr>
              <w:t>4、环卫车队车辆加油时享受本项目中标的优惠外，同时叠加享受加油站的各种优惠活动。</w:t>
            </w:r>
          </w:p>
          <w:p>
            <w:pPr>
              <w:pStyle w:val="null3"/>
            </w:pPr>
            <w:r>
              <w:rPr>
                <w:rFonts w:ascii="仿宋_GB2312" w:hAnsi="仿宋_GB2312" w:cs="仿宋_GB2312" w:eastAsia="仿宋_GB2312"/>
              </w:rPr>
              <w:t>七、承接业务的单位必须具备以下几点：</w:t>
            </w:r>
          </w:p>
          <w:p>
            <w:pPr>
              <w:pStyle w:val="null3"/>
            </w:pPr>
            <w:r>
              <w:rPr>
                <w:rFonts w:ascii="仿宋_GB2312" w:hAnsi="仿宋_GB2312" w:cs="仿宋_GB2312" w:eastAsia="仿宋_GB2312"/>
              </w:rPr>
              <w:t>1、燃油费用必须为2025年最新市场价。</w:t>
            </w:r>
          </w:p>
          <w:p>
            <w:pPr>
              <w:pStyle w:val="null3"/>
            </w:pPr>
            <w:r>
              <w:rPr>
                <w:rFonts w:ascii="仿宋_GB2312" w:hAnsi="仿宋_GB2312" w:cs="仿宋_GB2312" w:eastAsia="仿宋_GB2312"/>
              </w:rPr>
              <w:t>2、燃油补给单位必须优先保障曲江新区环卫车辆燃油供应。</w:t>
            </w:r>
          </w:p>
          <w:p>
            <w:pPr>
              <w:pStyle w:val="null3"/>
            </w:pPr>
            <w:r>
              <w:rPr>
                <w:rFonts w:ascii="仿宋_GB2312" w:hAnsi="仿宋_GB2312" w:cs="仿宋_GB2312" w:eastAsia="仿宋_GB2312"/>
              </w:rPr>
              <w:t>3、提供的油料必须符合国家燃油检测中心检验标准。</w:t>
            </w:r>
          </w:p>
          <w:p>
            <w:pPr>
              <w:pStyle w:val="null3"/>
            </w:pPr>
            <w:r>
              <w:rPr>
                <w:rFonts w:ascii="仿宋_GB2312" w:hAnsi="仿宋_GB2312" w:cs="仿宋_GB2312" w:eastAsia="仿宋_GB2312"/>
              </w:rPr>
              <w:t>4、燃油补给单位必须具有一定的经济实力，可以短期内垫付已发生未支付的燃油费用。</w:t>
            </w:r>
          </w:p>
          <w:p>
            <w:pPr>
              <w:pStyle w:val="null3"/>
            </w:pPr>
            <w:r>
              <w:rPr>
                <w:rFonts w:ascii="仿宋_GB2312" w:hAnsi="仿宋_GB2312" w:cs="仿宋_GB2312" w:eastAsia="仿宋_GB2312"/>
              </w:rPr>
              <w:t>八、其他要求</w:t>
            </w:r>
          </w:p>
          <w:p>
            <w:pPr>
              <w:pStyle w:val="null3"/>
            </w:pPr>
            <w:r>
              <w:rPr>
                <w:rFonts w:ascii="仿宋_GB2312" w:hAnsi="仿宋_GB2312" w:cs="仿宋_GB2312" w:eastAsia="仿宋_GB2312"/>
              </w:rPr>
              <w:t>1、投标人应充分了解本项目需求，提供完整的技术服务方案。</w:t>
            </w:r>
          </w:p>
          <w:p>
            <w:pPr>
              <w:pStyle w:val="null3"/>
            </w:pPr>
            <w:r>
              <w:rPr>
                <w:rFonts w:ascii="仿宋_GB2312" w:hAnsi="仿宋_GB2312" w:cs="仿宋_GB2312" w:eastAsia="仿宋_GB2312"/>
              </w:rPr>
              <w:t>2、投标人承诺中标后，每月月初第2个工作日前开具上月等额发票，交给采购人，并配合采购人完成付款的相关手续。</w:t>
            </w:r>
          </w:p>
          <w:p>
            <w:pPr>
              <w:pStyle w:val="null3"/>
            </w:pPr>
            <w:r>
              <w:rPr>
                <w:rFonts w:ascii="仿宋_GB2312" w:hAnsi="仿宋_GB2312" w:cs="仿宋_GB2312" w:eastAsia="仿宋_GB2312"/>
              </w:rPr>
              <w:t>3、采购人与中标人就项目签订合同后，由于中标人原因导致项目延误或无法按原计划执行的，中标人须承担相应法律责任并赔偿采购人相应的损失。</w:t>
            </w:r>
          </w:p>
          <w:p>
            <w:pPr>
              <w:pStyle w:val="null3"/>
            </w:pPr>
            <w:r>
              <w:rPr>
                <w:rFonts w:ascii="仿宋_GB2312" w:hAnsi="仿宋_GB2312" w:cs="仿宋_GB2312" w:eastAsia="仿宋_GB2312"/>
              </w:rPr>
              <w:t>4、中标人在签订合同时，不得提出附加条件和不合理要求，否则将取消其中标资格。</w:t>
            </w:r>
          </w:p>
          <w:p>
            <w:pPr>
              <w:pStyle w:val="null3"/>
            </w:pPr>
            <w:r>
              <w:rPr>
                <w:rFonts w:ascii="仿宋_GB2312" w:hAnsi="仿宋_GB2312" w:cs="仿宋_GB2312" w:eastAsia="仿宋_GB2312"/>
              </w:rPr>
              <w:t>5、投标人中标后一律不得将服务内容转包或分包，一经发现，采购人有权终止协议，而由此造成的一切经济损失，由中标人负责赔偿。</w:t>
            </w:r>
          </w:p>
          <w:p>
            <w:pPr>
              <w:pStyle w:val="null3"/>
            </w:pPr>
            <w:r>
              <w:rPr>
                <w:rFonts w:ascii="仿宋_GB2312" w:hAnsi="仿宋_GB2312" w:cs="仿宋_GB2312" w:eastAsia="仿宋_GB2312"/>
              </w:rPr>
              <w:t xml:space="preserve"> 6、中标人所提供的货物或服务质量标准按照国家标准、行业标准，上述标准不一致的，以严格或最新的标准为准。没有国家标准、行业标准的，按照通常标准或者符合合同目的的特定标准确定。</w:t>
            </w:r>
          </w:p>
          <w:p>
            <w:pPr>
              <w:pStyle w:val="null3"/>
            </w:pPr>
            <w:r>
              <w:rPr>
                <w:rFonts w:ascii="仿宋_GB2312" w:hAnsi="仿宋_GB2312" w:cs="仿宋_GB2312" w:eastAsia="仿宋_GB2312"/>
              </w:rPr>
              <w:t>7.为进一步加强燃油的采购服务工作，保证油品的质量，采购人对项目完成情况进行绩效考核。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乙方每月月初第2个工作日前开具上月等额发票，交给采购人，并配合采购人完成付款的相关手续。</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 、其他组织或自然人,企业法人应提供合法有效的营业执照等证明文件，事业法人应提供合法有效的事业单位法人证等证明文件，其他组织应提供合法有效的证明文件，2、供应商应具有良好的商业信誉和健全的财务会计制度；3、供应商应提供履行合同所必需的设备和专业技术能力的证明材料或承诺函并加盖单位公章； 4、供应商应提供近6个月内任意月份的缴税证明和养老保险缴纳证明，依法免税或不需要缴纳社会保障资金的单位应提供相关证明材料;5、提供参与本次政府采购活动前3年内在经营活动中没有重大违法记录的书面声明。</w:t>
            </w:r>
          </w:p>
        </w:tc>
        <w:tc>
          <w:tcPr>
            <w:tcW w:type="dxa" w:w="1661"/>
          </w:tcPr>
          <w:p>
            <w:pPr>
              <w:pStyle w:val="null3"/>
            </w:pPr>
            <w:r>
              <w:rPr>
                <w:rFonts w:ascii="仿宋_GB2312" w:hAnsi="仿宋_GB2312" w:cs="仿宋_GB2312" w:eastAsia="仿宋_GB2312"/>
              </w:rPr>
              <w:t>（三）社会保障资金缴纳证明.docx 投标函 无重大违法记录声明.docx （四）税收缴纳证明.docx （一）有效的主体资格证明.docx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提供具有经审计资质单位出具的2024年度的财务审计报告（审计报告“二维码”赋码查验功能），或其开标前六个月内基本存款账户开户银行出具的资信证明。（以上两种形式的资料提供任何一种即可）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（二）财务状况报告.docx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投标人须具有有效的《危险化学品经营许可证》及《成品油零售经营批准证书》</w:t>
            </w:r>
          </w:p>
        </w:tc>
        <w:tc>
          <w:tcPr>
            <w:tcW w:type="dxa" w:w="1661"/>
          </w:tcPr>
          <w:p>
            <w:pPr>
              <w:pStyle w:val="null3"/>
            </w:pPr>
            <w:r>
              <w:rPr>
                <w:rFonts w:ascii="仿宋_GB2312" w:hAnsi="仿宋_GB2312" w:cs="仿宋_GB2312" w:eastAsia="仿宋_GB2312"/>
              </w:rPr>
              <w:t>资质.docx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法定代表人委托授权书.docx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失信主体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单位负责人为同一人或者存在直接控股、管理关系的投标人，不得参加同一合同下的政府采购活动；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（3）法定代表人（主要负责人）委托授权书\身份证明</w:t>
            </w:r>
          </w:p>
        </w:tc>
        <w:tc>
          <w:tcPr>
            <w:tcW w:type="dxa" w:w="1661"/>
          </w:tcPr>
          <w:p>
            <w:pPr>
              <w:pStyle w:val="null3"/>
            </w:pPr>
            <w:r>
              <w:rPr>
                <w:rFonts w:ascii="仿宋_GB2312" w:hAnsi="仿宋_GB2312" w:cs="仿宋_GB2312" w:eastAsia="仿宋_GB2312"/>
              </w:rPr>
              <w:t>投标函 投标文件封面 法定代表人委托授权书.docx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（三）社会保障资金缴纳证明.docx 中小企业声明函 （二）财务状况报告.docx 商务应答表 无重大违法记录声明.docx 承诺书.docx 投标人概况.docx 产品技术参数表 投标函 残疾人福利性单位声明函 （四）税收缴纳证明.docx 资质.docx 投标文件封面 法定代表人委托授权书.docx 监狱企业的证明文件 （一）有效的主体资格证明.docx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（3）未超出采购预算和最高限价 （4）符合《开标一览表》的填报要求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根据采购需求及对本项目的理解认识，在投标文件中提供针对本项目服务过程中的重点、难点分析及提供相应解决措施。 针对本项目的重点、难点分析理解到位，充分符合采购人以及本项目实际情况，并提供有相应解决措施及方案，且措施及方案落地性较强得5分； 针对本项目的重点、难点分析理解到位，基本符合本项目特质，并提供相应解决措施及方案，但措施及方案较为虚浮得4分； 所提供针对本项目的重点、难点分析基本符合本项目特质，提供相应解决措施及方案且落地性较弱得3分； 提供了针对本项目的重点、难点分析，但未提供相应的解决措施及方案的得2分； 针对本项目的重点、难点分析不详细，不符合本项目特质，且未提供相应解决措施及方案的得1分。 不提供的不得分。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制度方案</w:t>
            </w:r>
          </w:p>
        </w:tc>
        <w:tc>
          <w:tcPr>
            <w:tcW w:type="dxa" w:w="2492"/>
          </w:tcPr>
          <w:p>
            <w:pPr>
              <w:pStyle w:val="null3"/>
            </w:pPr>
            <w:r>
              <w:rPr>
                <w:rFonts w:ascii="仿宋_GB2312" w:hAnsi="仿宋_GB2312" w:cs="仿宋_GB2312" w:eastAsia="仿宋_GB2312"/>
              </w:rPr>
              <w:t>投标人根据采购需求，在服务方案中提供适用于本项目的油品经营管理制度、台账管理制度、应急管理制度、消防安全制度、服务工作的规范性保证制度，共5项。 评标委员会根据合理性、有效性、可操作性及适应性四个维度进行评审，每项制度每具备一个维度得1.5分。每项制度总分6分，总计30分。 不提供的不得分。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采购人优先 加油的服务 保障方案</w:t>
            </w:r>
          </w:p>
        </w:tc>
        <w:tc>
          <w:tcPr>
            <w:tcW w:type="dxa" w:w="2492"/>
          </w:tcPr>
          <w:p>
            <w:pPr>
              <w:pStyle w:val="null3"/>
            </w:pPr>
            <w:r>
              <w:rPr>
                <w:rFonts w:ascii="仿宋_GB2312" w:hAnsi="仿宋_GB2312" w:cs="仿宋_GB2312" w:eastAsia="仿宋_GB2312"/>
              </w:rPr>
              <w:t>投标人根据采购需求，在投标文件中提供保障采购人优先加油的服务方案，方案内容包括但不限于应急情况下（如油品紧张）的优先保障方案，高峰时段的调度方案。 方案科学、合理、落地性强，能有效保障采购人在应急情况下及高峰时段优先加油的得4分； 方案科学、合理，能确保采购人在应急情况下及高峰时段优先加油的得3分； 方案基本合理，但在应急情况及高峰时段这两种情况下，有任意一项存在明显疏漏的得2分； 方案粗糙，无法有效保证采购人在应急情况下及高峰时段优先加油的得1分。 不提供的不得分。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的油料必须符合国家燃油检测中心检验标准，响应方案合理、可行且有针对性得5分；响应方案基本合理、基本可行且较有针对性得4分；响应方案完整，可行性较差且针对性较差得3分；响应方案内容不完整，可行性极差且无针对性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计量保障措施</w:t>
            </w:r>
          </w:p>
        </w:tc>
        <w:tc>
          <w:tcPr>
            <w:tcW w:type="dxa" w:w="2492"/>
          </w:tcPr>
          <w:p>
            <w:pPr>
              <w:pStyle w:val="null3"/>
            </w:pPr>
            <w:r>
              <w:rPr>
                <w:rFonts w:ascii="仿宋_GB2312" w:hAnsi="仿宋_GB2312" w:cs="仿宋_GB2312" w:eastAsia="仿宋_GB2312"/>
              </w:rPr>
              <w:t>计量用具须符合国家标准，不得缺斤少两，投标人在投标文件中提供计量保障措施。投标人提供的计量用具可实时监测数据，且具备完整的电子档案；定期检定，其保障措施响应到位的得5分； 投标人提供的计量用具具备电子档案，同时可提供相关数据；定期检定，其保障措施满足要求的得4分； 投标人针对计量用具建立纸质计量管理台账，定期检定，其保障措施合理的得3分； 投标人针对计量用具建立纸质计量管理台账，但检定不定期，计量管理台账不规范，其保障措施较合理的得2分； 计量用具符合国家标准，但未留存检定及管理台账，其保障措施基本符合的得1分。 不提供的不得分。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油源保障措施</w:t>
            </w:r>
          </w:p>
        </w:tc>
        <w:tc>
          <w:tcPr>
            <w:tcW w:type="dxa" w:w="2492"/>
          </w:tcPr>
          <w:p>
            <w:pPr>
              <w:pStyle w:val="null3"/>
            </w:pPr>
            <w:r>
              <w:rPr>
                <w:rFonts w:ascii="仿宋_GB2312" w:hAnsi="仿宋_GB2312" w:cs="仿宋_GB2312" w:eastAsia="仿宋_GB2312"/>
              </w:rPr>
              <w:t>投标人在投标文件中提供油源保障措施。具有稳定的油源渠道，保证油品质量，且有足够应急油库储备，调度体系完善，其保障措施完全满足需求的得5分； 具有稳定的油源渠道，保证油品质量，应急油库储备较足，调度体系较完善，其保障措施合理的得4分； 具有稳定的油源渠道，保证油品质量，应急油库储备较足，调度体系较完善，其保障措施较合理的得3分； 具有固定的油源渠道，保证油品质量，有应急油库储备，但调度体系不完善，其保障措施符合的得2分； 具有油源渠道，保证油品质量，无应急油库储备，其保障措施基本符合的得1分。 不提供的不得分。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服务人员方案</w:t>
            </w:r>
          </w:p>
        </w:tc>
        <w:tc>
          <w:tcPr>
            <w:tcW w:type="dxa" w:w="2492"/>
          </w:tcPr>
          <w:p>
            <w:pPr>
              <w:pStyle w:val="null3"/>
            </w:pPr>
            <w:r>
              <w:rPr>
                <w:rFonts w:ascii="仿宋_GB2312" w:hAnsi="仿宋_GB2312" w:cs="仿宋_GB2312" w:eastAsia="仿宋_GB2312"/>
              </w:rPr>
              <w:t>投标人针对本项目提供人员配备方案。方案描述具体详细，逻辑清晰，拟投入的本项目的人员充足，职责分工明确，工作经验丰富，证明资料充分，能快速顺利执行项目得5分； 提供了方案和证明资料，逻辑较清晰，拟投入的本项目的人员较充足，职责分工较明确，工作经验较丰富，可较好执行项目得4分； 提供了方案和证明资料，拟投入的本项目的人员基本充足，职责分工基本明确，工作经验较丰富，可较好执行项目，但方案描述不够具体，逻辑不清晰得3分； 提供了方案和证明资料，描述不够具体，拟投入的本项目的人员职责分工不明确，工作经验不够丰富，对项目而言有不足的，勉强满足项目执行进度，逻辑混乱得2分； 提供了方案和证明资料，拟投入的本项目的人员职责分工不明确，工作经验差，描述简略，不能满足项目执行进度得1分。 不提供的不得分。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项目组团队人员情况表.docx</w:t>
            </w:r>
          </w:p>
        </w:tc>
      </w:tr>
      <w:tr>
        <w:tc>
          <w:tcPr>
            <w:tcW w:type="dxa" w:w="831"/>
            <w:vMerge/>
          </w:tcPr>
          <w:p/>
        </w:tc>
        <w:tc>
          <w:tcPr>
            <w:tcW w:type="dxa" w:w="1661"/>
          </w:tcPr>
          <w:p>
            <w:pPr>
              <w:pStyle w:val="null3"/>
            </w:pPr>
            <w:r>
              <w:rPr>
                <w:rFonts w:ascii="仿宋_GB2312" w:hAnsi="仿宋_GB2312" w:cs="仿宋_GB2312" w:eastAsia="仿宋_GB2312"/>
              </w:rPr>
              <w:t>售后服务方案及服务承诺</w:t>
            </w:r>
          </w:p>
        </w:tc>
        <w:tc>
          <w:tcPr>
            <w:tcW w:type="dxa" w:w="2492"/>
          </w:tcPr>
          <w:p>
            <w:pPr>
              <w:pStyle w:val="null3"/>
            </w:pPr>
            <w:r>
              <w:rPr>
                <w:rFonts w:ascii="仿宋_GB2312" w:hAnsi="仿宋_GB2312" w:cs="仿宋_GB2312" w:eastAsia="仿宋_GB2312"/>
              </w:rPr>
              <w:t>投标人提供实际需求提供售后服务方案（服务响应时间、服务便利程度等）及服务承诺等。售后服务方案内容详细、全面、合理、具有很强的可行性及针对性，响应及时，服务承诺全面得4分； 售后服务方案内容欠佳、基本合理、具有一定的可行性及针对性，响应时间基本满足要求，服务承诺较全面得3分； 售后服务方案内容不完整、但有一定的针对性，响应时间基本满足要求，服务承诺较可行得2分； 售后服务方案内容较差、无针对性，响应不及时，服务承诺较差得1分。 不提供的不得分。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响应服务绩效考核承诺</w:t>
            </w:r>
          </w:p>
        </w:tc>
        <w:tc>
          <w:tcPr>
            <w:tcW w:type="dxa" w:w="2492"/>
          </w:tcPr>
          <w:p>
            <w:pPr>
              <w:pStyle w:val="null3"/>
            </w:pPr>
            <w:r>
              <w:rPr>
                <w:rFonts w:ascii="仿宋_GB2312" w:hAnsi="仿宋_GB2312" w:cs="仿宋_GB2312" w:eastAsia="仿宋_GB2312"/>
              </w:rPr>
              <w:t>为进一步加强燃油的采购服务工作，保证油品的质量，采购人对项目完成情况进行绩效考核，投标人响应服务绩效考核承诺得2分，未响应不得分。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服务绩效考核承诺.docx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投标人自2022年1月1日至投标截止日（以合同签订时间为准）承担过类似项目的每个业绩得1分，最高得5分。 注：须提供合同复印件加盖公章。不提供或提供不符合要求的不得分。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以实质性满足招标文件商务和技术要求的投标费率最小值为评标基准值，报价得分=（评标基准价/报价费率）×价格分值30。 说明：为清晰界定本次投标报价要求，避免理解偏差，现将报价形式明确如下：本次投标报价需填报 “投标费率”，该费率并非 “下浮率”。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详见附件：（一）有效的主体资格证明.docx</w:t>
      </w:r>
    </w:p>
    <w:p>
      <w:pPr>
        <w:pStyle w:val="null3"/>
        <w:ind w:firstLine="960"/>
      </w:pPr>
      <w:r>
        <w:rPr>
          <w:rFonts w:ascii="仿宋_GB2312" w:hAnsi="仿宋_GB2312" w:cs="仿宋_GB2312" w:eastAsia="仿宋_GB2312"/>
        </w:rPr>
        <w:t>详见附件：（三）社会保障资金缴纳证明.docx</w:t>
      </w:r>
    </w:p>
    <w:p>
      <w:pPr>
        <w:pStyle w:val="null3"/>
        <w:ind w:firstLine="960"/>
      </w:pPr>
      <w:r>
        <w:rPr>
          <w:rFonts w:ascii="仿宋_GB2312" w:hAnsi="仿宋_GB2312" w:cs="仿宋_GB2312" w:eastAsia="仿宋_GB2312"/>
        </w:rPr>
        <w:t>详见附件：（四）税收缴纳证明.docx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详见附件：（二）财务状况报告.docx</w:t>
      </w:r>
    </w:p>
    <w:p>
      <w:pPr>
        <w:pStyle w:val="null3"/>
        <w:ind w:firstLine="960"/>
      </w:pPr>
      <w:r>
        <w:rPr>
          <w:rFonts w:ascii="仿宋_GB2312" w:hAnsi="仿宋_GB2312" w:cs="仿宋_GB2312" w:eastAsia="仿宋_GB2312"/>
        </w:rPr>
        <w:t>详见附件：法定代表人委托授权书.docx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详见附件：资质.docx</w:t>
      </w:r>
    </w:p>
    <w:p>
      <w:pPr>
        <w:pStyle w:val="null3"/>
        <w:ind w:firstLine="960"/>
      </w:pPr>
      <w:r>
        <w:rPr>
          <w:rFonts w:ascii="仿宋_GB2312" w:hAnsi="仿宋_GB2312" w:cs="仿宋_GB2312" w:eastAsia="仿宋_GB2312"/>
        </w:rPr>
        <w:t>详见附件：项目组团队人员情况表.docx</w:t>
      </w:r>
    </w:p>
    <w:p>
      <w:pPr>
        <w:pStyle w:val="null3"/>
        <w:ind w:firstLine="960"/>
      </w:pPr>
      <w:r>
        <w:rPr>
          <w:rFonts w:ascii="仿宋_GB2312" w:hAnsi="仿宋_GB2312" w:cs="仿宋_GB2312" w:eastAsia="仿宋_GB2312"/>
        </w:rPr>
        <w:t>详见附件：（一）有效的主体资格证明.docx</w:t>
      </w:r>
    </w:p>
    <w:p>
      <w:pPr>
        <w:pStyle w:val="null3"/>
        <w:ind w:firstLine="960"/>
      </w:pPr>
      <w:r>
        <w:rPr>
          <w:rFonts w:ascii="仿宋_GB2312" w:hAnsi="仿宋_GB2312" w:cs="仿宋_GB2312" w:eastAsia="仿宋_GB2312"/>
        </w:rPr>
        <w:t>详见附件：服务绩效考核承诺.docx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