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0678">
      <w:pPr>
        <w:pStyle w:val="2"/>
        <w:numPr>
          <w:ilvl w:val="0"/>
          <w:numId w:val="1"/>
        </w:numPr>
        <w:rPr>
          <w:rFonts w:hint="eastAsia" w:ascii="宋体" w:hAnsi="宋体" w:eastAsia="宋体" w:cs="宋体"/>
          <w:b/>
          <w:sz w:val="24"/>
          <w:szCs w:val="24"/>
        </w:rPr>
      </w:pPr>
      <w:bookmarkStart w:id="0" w:name="_Toc134805030"/>
      <w:bookmarkStart w:id="1" w:name="_Toc12484"/>
      <w:r>
        <w:rPr>
          <w:rFonts w:hint="eastAsia" w:ascii="宋体" w:hAnsi="宋体" w:eastAsia="宋体" w:cs="宋体"/>
          <w:b/>
          <w:sz w:val="24"/>
          <w:szCs w:val="24"/>
        </w:rPr>
        <w:t>合同文本</w:t>
      </w:r>
      <w:bookmarkEnd w:id="0"/>
      <w:bookmarkEnd w:id="1"/>
    </w:p>
    <w:p w14:paraId="55EFFCFD">
      <w:pPr>
        <w:widowControl w:val="0"/>
        <w:tabs>
          <w:tab w:val="left" w:pos="735"/>
        </w:tabs>
        <w:autoSpaceDE w:val="0"/>
        <w:autoSpaceDN w:val="0"/>
        <w:adjustRightInd w:val="0"/>
        <w:snapToGrid w:val="0"/>
        <w:spacing w:before="420" w:beforeLines="100" w:line="360" w:lineRule="auto"/>
        <w:ind w:firstLine="629"/>
        <w:jc w:val="both"/>
        <w:rPr>
          <w:rFonts w:hint="eastAsia" w:ascii="宋体" w:hAnsi="宋体" w:eastAsia="宋体" w:cs="宋体"/>
          <w:b/>
          <w:bCs/>
          <w:kern w:val="2"/>
          <w:lang w:val="zh-CN"/>
        </w:rPr>
      </w:pPr>
      <w:r>
        <w:rPr>
          <w:rFonts w:hint="eastAsia" w:ascii="宋体" w:hAnsi="宋体" w:eastAsia="宋体" w:cs="宋体"/>
          <w:b/>
          <w:bCs/>
          <w:kern w:val="2"/>
          <w:lang w:val="zh-CN"/>
        </w:rPr>
        <w:t>甲方：</w:t>
      </w:r>
      <w:r>
        <w:rPr>
          <w:rFonts w:hint="eastAsia" w:ascii="宋体" w:hAnsi="宋体" w:eastAsia="宋体" w:cs="宋体"/>
          <w:bCs/>
          <w:kern w:val="2"/>
          <w:lang w:val="zh-CN"/>
        </w:rPr>
        <w:t>（前款所称采购人）     住所：</w:t>
      </w:r>
    </w:p>
    <w:p w14:paraId="72C9561E">
      <w:pPr>
        <w:widowControl w:val="0"/>
        <w:tabs>
          <w:tab w:val="left" w:pos="735"/>
        </w:tabs>
        <w:autoSpaceDE w:val="0"/>
        <w:autoSpaceDN w:val="0"/>
        <w:adjustRightInd w:val="0"/>
        <w:snapToGrid w:val="0"/>
        <w:spacing w:line="360" w:lineRule="auto"/>
        <w:ind w:firstLine="631"/>
        <w:jc w:val="both"/>
        <w:rPr>
          <w:rFonts w:hint="eastAsia" w:ascii="宋体" w:hAnsi="宋体" w:eastAsia="宋体" w:cs="宋体"/>
          <w:bCs/>
          <w:kern w:val="2"/>
          <w:lang w:val="zh-CN"/>
        </w:rPr>
      </w:pPr>
      <w:r>
        <w:rPr>
          <w:rFonts w:hint="eastAsia" w:ascii="宋体" w:hAnsi="宋体" w:eastAsia="宋体" w:cs="宋体"/>
          <w:b/>
          <w:bCs/>
          <w:kern w:val="2"/>
          <w:lang w:val="zh-CN"/>
        </w:rPr>
        <w:t>乙方：</w:t>
      </w:r>
      <w:r>
        <w:rPr>
          <w:rFonts w:hint="eastAsia" w:ascii="宋体" w:hAnsi="宋体" w:eastAsia="宋体" w:cs="宋体"/>
          <w:bCs/>
          <w:kern w:val="2"/>
          <w:lang w:val="zh-CN"/>
        </w:rPr>
        <w:t>（前款所称中标人）     住所：</w:t>
      </w:r>
      <w:bookmarkStart w:id="12" w:name="_GoBack"/>
      <w:bookmarkEnd w:id="12"/>
    </w:p>
    <w:p w14:paraId="30F99F6E">
      <w:pPr>
        <w:widowControl w:val="0"/>
        <w:adjustRightInd w:val="0"/>
        <w:snapToGrid w:val="0"/>
        <w:spacing w:line="360" w:lineRule="auto"/>
        <w:ind w:firstLine="482" w:firstLineChars="200"/>
        <w:jc w:val="both"/>
        <w:rPr>
          <w:rFonts w:hint="eastAsia" w:ascii="宋体" w:hAnsi="宋体" w:eastAsia="宋体" w:cs="宋体"/>
          <w:b/>
          <w:kern w:val="2"/>
        </w:rPr>
      </w:pPr>
      <w:bookmarkStart w:id="2" w:name="_Toc19515384"/>
      <w:r>
        <w:rPr>
          <w:rFonts w:hint="eastAsia" w:ascii="宋体" w:hAnsi="宋体" w:eastAsia="宋体" w:cs="宋体"/>
          <w:b/>
          <w:kern w:val="2"/>
        </w:rPr>
        <w:t>一、合同内容（标的、数量、质量等）:</w:t>
      </w:r>
      <w:bookmarkEnd w:id="2"/>
    </w:p>
    <w:p w14:paraId="73661367">
      <w:pPr>
        <w:widowControl w:val="0"/>
        <w:adjustRightInd w:val="0"/>
        <w:snapToGrid w:val="0"/>
        <w:spacing w:line="360" w:lineRule="auto"/>
        <w:ind w:firstLine="482" w:firstLineChars="200"/>
        <w:jc w:val="both"/>
        <w:rPr>
          <w:rFonts w:hint="eastAsia" w:ascii="宋体" w:hAnsi="宋体" w:eastAsia="宋体" w:cs="宋体"/>
          <w:b/>
          <w:kern w:val="2"/>
        </w:rPr>
      </w:pPr>
      <w:bookmarkStart w:id="3" w:name="_Toc19515385"/>
      <w:r>
        <w:rPr>
          <w:rFonts w:hint="eastAsia" w:ascii="宋体" w:hAnsi="宋体" w:eastAsia="宋体" w:cs="宋体"/>
          <w:b/>
          <w:kern w:val="2"/>
        </w:rPr>
        <w:t>二、合同价款</w:t>
      </w:r>
      <w:bookmarkEnd w:id="3"/>
    </w:p>
    <w:p w14:paraId="2E034B75">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1、合同总价（折扣）：</w:t>
      </w:r>
    </w:p>
    <w:p w14:paraId="4F7296DA">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2、合同折扣后价格包括完成合同内容所需的一切费用。</w:t>
      </w:r>
    </w:p>
    <w:p w14:paraId="7A1210BE">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3、合同折扣一次包死，不受市场价变化的影响。</w:t>
      </w:r>
    </w:p>
    <w:p w14:paraId="22194A47">
      <w:pPr>
        <w:widowControl w:val="0"/>
        <w:adjustRightInd w:val="0"/>
        <w:snapToGrid w:val="0"/>
        <w:spacing w:line="360" w:lineRule="auto"/>
        <w:ind w:firstLine="482" w:firstLineChars="200"/>
        <w:jc w:val="both"/>
        <w:rPr>
          <w:rFonts w:hint="eastAsia" w:ascii="宋体" w:hAnsi="宋体" w:eastAsia="宋体" w:cs="宋体"/>
          <w:b/>
          <w:kern w:val="2"/>
        </w:rPr>
      </w:pPr>
      <w:bookmarkStart w:id="4" w:name="_Toc19515386"/>
      <w:r>
        <w:rPr>
          <w:rFonts w:hint="eastAsia" w:ascii="宋体" w:hAnsi="宋体" w:eastAsia="宋体" w:cs="宋体"/>
          <w:b/>
          <w:kern w:val="2"/>
        </w:rPr>
        <w:t>三、合同结算</w:t>
      </w:r>
      <w:bookmarkEnd w:id="4"/>
    </w:p>
    <w:p w14:paraId="3F434602">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1、</w:t>
      </w:r>
      <w:bookmarkStart w:id="5" w:name="_Toc19515387"/>
      <w:r>
        <w:rPr>
          <w:rFonts w:hint="eastAsia" w:ascii="宋体" w:hAnsi="宋体" w:eastAsia="宋体" w:cs="宋体"/>
          <w:kern w:val="2"/>
        </w:rPr>
        <w:t>付款比例：</w:t>
      </w:r>
    </w:p>
    <w:p w14:paraId="12E187C2">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1-1、此次采购加油服务实行一车一卡制度 ，环卫车辆驾驶人员凭卡加油，不得兑换现金。</w:t>
      </w:r>
    </w:p>
    <w:p w14:paraId="7121C676">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1-2、资金结算由甲方与乙方在投标折扣条件的基础上按每月结算一次的方式据实结算。</w:t>
      </w:r>
    </w:p>
    <w:p w14:paraId="37C7846B">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2、结算方式：银行转账。</w:t>
      </w:r>
    </w:p>
    <w:p w14:paraId="7C2FD7E8">
      <w:pPr>
        <w:widowControl w:val="0"/>
        <w:adjustRightInd w:val="0"/>
        <w:snapToGrid w:val="0"/>
        <w:spacing w:line="360" w:lineRule="auto"/>
        <w:ind w:firstLine="480" w:firstLineChars="200"/>
        <w:jc w:val="both"/>
        <w:rPr>
          <w:rFonts w:hint="eastAsia" w:ascii="宋体" w:hAnsi="宋体" w:eastAsia="宋体" w:cs="宋体"/>
          <w:kern w:val="2"/>
        </w:rPr>
      </w:pPr>
      <w:r>
        <w:rPr>
          <w:rFonts w:hint="eastAsia" w:ascii="宋体" w:hAnsi="宋体" w:eastAsia="宋体" w:cs="宋体"/>
          <w:kern w:val="2"/>
        </w:rPr>
        <w:t>3、结算单位：由</w:t>
      </w:r>
      <w:r>
        <w:rPr>
          <w:rFonts w:hint="eastAsia" w:ascii="宋体" w:hAnsi="宋体" w:eastAsia="宋体" w:cs="宋体"/>
          <w:kern w:val="2"/>
          <w:u w:val="single"/>
        </w:rPr>
        <w:t xml:space="preserve"> 甲方 </w:t>
      </w:r>
      <w:r>
        <w:rPr>
          <w:rFonts w:hint="eastAsia" w:ascii="宋体" w:hAnsi="宋体" w:eastAsia="宋体" w:cs="宋体"/>
          <w:kern w:val="2"/>
        </w:rPr>
        <w:t>负责结算，乙方每月月初第2个工作日前开具上月等额发票，交给采购人，并配合采购人完成付款的相关手续。</w:t>
      </w:r>
    </w:p>
    <w:bookmarkEnd w:id="5"/>
    <w:p w14:paraId="527AD3B8">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四、履行期限、地点及方式:</w:t>
      </w:r>
    </w:p>
    <w:p w14:paraId="4D191E2C">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1、履行期限：合同签订后一年</w:t>
      </w:r>
    </w:p>
    <w:p w14:paraId="57A76024">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2、地点：按照采购人要求</w:t>
      </w:r>
    </w:p>
    <w:p w14:paraId="4B201CF8">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3、方式：按照采购人要求</w:t>
      </w:r>
    </w:p>
    <w:p w14:paraId="2A043268">
      <w:pPr>
        <w:adjustRightInd w:val="0"/>
        <w:snapToGrid w:val="0"/>
        <w:spacing w:line="360" w:lineRule="auto"/>
        <w:ind w:firstLine="482" w:firstLineChars="200"/>
        <w:rPr>
          <w:rFonts w:hint="eastAsia" w:ascii="宋体" w:hAnsi="宋体" w:eastAsia="宋体" w:cs="宋体"/>
          <w:b/>
          <w:bCs/>
        </w:rPr>
      </w:pPr>
      <w:bookmarkStart w:id="6" w:name="_Toc19515389"/>
      <w:r>
        <w:rPr>
          <w:rFonts w:hint="eastAsia" w:ascii="宋体" w:hAnsi="宋体" w:eastAsia="宋体" w:cs="宋体"/>
          <w:b/>
          <w:bCs/>
        </w:rPr>
        <w:t>五、质量保证</w:t>
      </w:r>
      <w:bookmarkEnd w:id="6"/>
    </w:p>
    <w:p w14:paraId="7E0E913A">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1、所供油品必须经过办理正常手续。</w:t>
      </w:r>
    </w:p>
    <w:p w14:paraId="0FE648EC">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2、所供油品是经过国家法定检验、准许市场销售的合法产品。</w:t>
      </w:r>
    </w:p>
    <w:p w14:paraId="10883A1D">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3、货物性能稳定、具有较好的使用效果，质量保证措施完善，符合国家相关标准。</w:t>
      </w:r>
    </w:p>
    <w:p w14:paraId="552A1CBC">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六、甲方的权利和义务</w:t>
      </w:r>
    </w:p>
    <w:p w14:paraId="4B9D4CF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1、甲方有权在乙方的所有加油站凭卡加油，且享受同等优惠率。</w:t>
      </w:r>
    </w:p>
    <w:p w14:paraId="6C9E4C1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2、根据本合同规定，按时向乙方支付应付费用。</w:t>
      </w:r>
    </w:p>
    <w:p w14:paraId="0FD9D637">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3、国家法律、法规所规定由甲方承担的其它责任。</w:t>
      </w:r>
    </w:p>
    <w:p w14:paraId="32FBB6F3">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七、乙方的权利和义务</w:t>
      </w:r>
    </w:p>
    <w:p w14:paraId="7DA6603D">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1、对本合同规定的范围内的享有管理权及服务义务。</w:t>
      </w:r>
    </w:p>
    <w:p w14:paraId="72C70DCD">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2、及时向甲方通告本项目执行范围内有关的重大事项，及时处理出现的问题。</w:t>
      </w:r>
    </w:p>
    <w:p w14:paraId="5969653C">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3、接受项目行业管理部门及政府有关部门的监督指导，接受甲方的监督。</w:t>
      </w:r>
    </w:p>
    <w:p w14:paraId="3B5DA110">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4、国家法律、法规所规定由乙方承担的其它责任。</w:t>
      </w:r>
      <w:bookmarkStart w:id="7" w:name="_Toc19515391"/>
    </w:p>
    <w:p w14:paraId="11F8BCBB">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八、验收</w:t>
      </w:r>
      <w:bookmarkEnd w:id="7"/>
      <w:r>
        <w:rPr>
          <w:rFonts w:hint="eastAsia" w:ascii="宋体" w:hAnsi="宋体" w:eastAsia="宋体" w:cs="宋体"/>
          <w:b/>
          <w:bCs/>
        </w:rPr>
        <w:t>要求</w:t>
      </w:r>
    </w:p>
    <w:p w14:paraId="0E6D0437">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1、甲方对乙方的服务情况进行不定期考核。</w:t>
      </w:r>
    </w:p>
    <w:p w14:paraId="074760E4">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2、验收依据：</w:t>
      </w:r>
    </w:p>
    <w:p w14:paraId="585CB310">
      <w:pPr>
        <w:adjustRightInd w:val="0"/>
        <w:snapToGrid w:val="0"/>
        <w:spacing w:line="360" w:lineRule="auto"/>
        <w:ind w:firstLine="480" w:firstLineChars="200"/>
        <w:rPr>
          <w:rFonts w:hint="eastAsia" w:ascii="宋体" w:hAnsi="宋体" w:eastAsia="宋体" w:cs="宋体"/>
        </w:rPr>
      </w:pPr>
      <w:bookmarkStart w:id="8" w:name="_Toc19515392"/>
      <w:r>
        <w:rPr>
          <w:rFonts w:hint="eastAsia" w:ascii="宋体" w:hAnsi="宋体" w:eastAsia="宋体" w:cs="宋体"/>
        </w:rPr>
        <w:t>2-1、合同文本、合同附件、招标文件、投标文件。</w:t>
      </w:r>
    </w:p>
    <w:p w14:paraId="774E5B67">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2-2、国内相应的标准、规范。</w:t>
      </w:r>
    </w:p>
    <w:p w14:paraId="14158285">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九、违约责任</w:t>
      </w:r>
      <w:bookmarkEnd w:id="8"/>
    </w:p>
    <w:p w14:paraId="183CE4C9">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1、违约责任按《中华人民共和国民法典》处理中的相关条款执行。</w:t>
      </w:r>
    </w:p>
    <w:p w14:paraId="7321BCE5">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2、乙方未按合同要求提供货物或质量不能满足技术要求，甲方会同监督机构有权终止合同，对乙方违约行为进行追究，同时按政府采购法的有关规定进行相应的处罚。</w:t>
      </w:r>
    </w:p>
    <w:p w14:paraId="7058A123">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十、不可抗力事件处理</w:t>
      </w:r>
    </w:p>
    <w:p w14:paraId="132AB6FA">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8BA40A7">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2、本合同中的不可抗力指不能预见、不能避免并不能克服的客观情况。包括但不限于：自然灾害如地震、台风、洪水、火灾；政府行为、法律规定或其适用的变化或者其他任何无法预见、避免或者控制的事件。</w:t>
      </w:r>
    </w:p>
    <w:p w14:paraId="4C4F2A79">
      <w:pPr>
        <w:adjustRightInd w:val="0"/>
        <w:snapToGrid w:val="0"/>
        <w:spacing w:line="360" w:lineRule="auto"/>
        <w:ind w:firstLine="482" w:firstLineChars="200"/>
        <w:rPr>
          <w:rFonts w:hint="eastAsia" w:ascii="宋体" w:hAnsi="宋体" w:eastAsia="宋体" w:cs="宋体"/>
          <w:b/>
          <w:bCs/>
        </w:rPr>
      </w:pPr>
      <w:bookmarkStart w:id="9" w:name="_Toc19515393"/>
      <w:r>
        <w:rPr>
          <w:rFonts w:hint="eastAsia" w:ascii="宋体" w:hAnsi="宋体" w:eastAsia="宋体" w:cs="宋体"/>
          <w:b/>
          <w:bCs/>
        </w:rPr>
        <w:t>十一、合同组成</w:t>
      </w:r>
      <w:bookmarkEnd w:id="9"/>
    </w:p>
    <w:p w14:paraId="141D3BB3">
      <w:pPr>
        <w:adjustRightInd w:val="0"/>
        <w:snapToGrid w:val="0"/>
        <w:spacing w:line="360" w:lineRule="auto"/>
        <w:ind w:firstLine="480" w:firstLineChars="200"/>
        <w:rPr>
          <w:rFonts w:hint="eastAsia" w:ascii="宋体" w:hAnsi="宋体" w:eastAsia="宋体" w:cs="宋体"/>
        </w:rPr>
      </w:pPr>
      <w:bookmarkStart w:id="10" w:name="_Toc19515394"/>
      <w:r>
        <w:rPr>
          <w:rFonts w:hint="eastAsia" w:ascii="宋体" w:hAnsi="宋体" w:eastAsia="宋体" w:cs="宋体"/>
        </w:rPr>
        <w:t>1、中标通知书</w:t>
      </w:r>
    </w:p>
    <w:p w14:paraId="40881067">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2、合同文件</w:t>
      </w:r>
    </w:p>
    <w:p w14:paraId="3EEA191C">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3、国家相关规范及标准</w:t>
      </w:r>
    </w:p>
    <w:p w14:paraId="35D20AE8">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4、供货产品技术规格及参数表</w:t>
      </w:r>
    </w:p>
    <w:p w14:paraId="55F947E9">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5、招标文件</w:t>
      </w:r>
    </w:p>
    <w:p w14:paraId="5748A97C">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6、投标文件</w:t>
      </w:r>
    </w:p>
    <w:p w14:paraId="199ACCD8">
      <w:pPr>
        <w:adjustRightInd w:val="0"/>
        <w:snapToGrid w:val="0"/>
        <w:spacing w:line="360" w:lineRule="auto"/>
        <w:ind w:firstLine="482" w:firstLineChars="200"/>
        <w:rPr>
          <w:rFonts w:hint="eastAsia" w:ascii="宋体" w:hAnsi="宋体" w:eastAsia="宋体" w:cs="宋体"/>
          <w:b/>
          <w:bCs/>
        </w:rPr>
      </w:pPr>
      <w:r>
        <w:rPr>
          <w:rFonts w:hint="eastAsia" w:ascii="宋体" w:hAnsi="宋体" w:eastAsia="宋体" w:cs="宋体"/>
          <w:b/>
          <w:bCs/>
        </w:rPr>
        <w:t>十二、解决争议的方法</w:t>
      </w:r>
      <w:bookmarkEnd w:id="10"/>
    </w:p>
    <w:p w14:paraId="62B1494B">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凡因本合同引起的或与本合同有关的争议，双方应友好协商解决。协商不成时，双方均同意采用以下第（  ）种争议解决方式：</w:t>
      </w:r>
    </w:p>
    <w:p w14:paraId="46559F62">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（1）甲、乙双方均同意向（甲方所在地人民法院）提起诉讼。</w:t>
      </w:r>
    </w:p>
    <w:p w14:paraId="5DD043F9">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（2）甲、乙双方均同意向（</w:t>
      </w:r>
      <w:r>
        <w:rPr>
          <w:rFonts w:hint="eastAsia" w:ascii="宋体" w:hAnsi="宋体" w:eastAsia="宋体" w:cs="宋体"/>
        </w:rPr>
        <w:fldChar w:fldCharType="begin"/>
      </w:r>
      <w:r>
        <w:rPr>
          <w:rFonts w:hint="eastAsia" w:ascii="宋体" w:hAnsi="宋体" w:eastAsia="宋体" w:cs="宋体"/>
        </w:rPr>
        <w:instrText xml:space="preserve"> HYPERLINK "http://www.baidu.com/s?wd=%E4%BB%B2%E8%A3%81%E5%A7%94%E5%91%98%E4%BC%9A&amp;tn=SE_PcZhidaonwhc_ngpagmjz&amp;rsv_dl=gh_pc_zhidao" \t "_blank" </w:instrText>
      </w:r>
      <w:r>
        <w:rPr>
          <w:rFonts w:hint="eastAsia" w:ascii="宋体" w:hAnsi="宋体" w:eastAsia="宋体" w:cs="宋体"/>
        </w:rPr>
        <w:fldChar w:fldCharType="separate"/>
      </w:r>
      <w:r>
        <w:rPr>
          <w:rFonts w:hint="eastAsia" w:ascii="宋体" w:hAnsi="宋体" w:eastAsia="宋体" w:cs="宋体"/>
        </w:rPr>
        <w:t>仲裁委员会</w:t>
      </w:r>
      <w:r>
        <w:rPr>
          <w:rFonts w:hint="eastAsia" w:ascii="宋体" w:hAnsi="宋体" w:eastAsia="宋体" w:cs="宋体"/>
        </w:rPr>
        <w:fldChar w:fldCharType="end"/>
      </w:r>
      <w:r>
        <w:rPr>
          <w:rFonts w:hint="eastAsia" w:ascii="宋体" w:hAnsi="宋体" w:eastAsia="宋体" w:cs="宋体"/>
        </w:rPr>
        <w:t>）提起仲裁。</w:t>
      </w:r>
    </w:p>
    <w:p w14:paraId="19CC8B57">
      <w:pPr>
        <w:adjustRightInd w:val="0"/>
        <w:snapToGrid w:val="0"/>
        <w:spacing w:line="360" w:lineRule="auto"/>
        <w:ind w:firstLine="482" w:firstLineChars="200"/>
        <w:rPr>
          <w:rFonts w:hint="eastAsia" w:ascii="宋体" w:hAnsi="宋体" w:eastAsia="宋体" w:cs="宋体"/>
          <w:b/>
          <w:bCs/>
        </w:rPr>
      </w:pPr>
      <w:bookmarkStart w:id="11" w:name="_Toc19515395"/>
      <w:r>
        <w:rPr>
          <w:rFonts w:hint="eastAsia" w:ascii="宋体" w:hAnsi="宋体" w:eastAsia="宋体" w:cs="宋体"/>
          <w:b/>
          <w:bCs/>
        </w:rPr>
        <w:t>十三、合同生效及其它</w:t>
      </w:r>
      <w:bookmarkEnd w:id="11"/>
    </w:p>
    <w:p w14:paraId="570A40F3">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1、合同未尽事宜、由甲、乙双方协商，作为合同补充，与原合同具有同等法律效力。</w:t>
      </w:r>
    </w:p>
    <w:p w14:paraId="3F6A9AE5">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 本合同一式</w:t>
      </w:r>
      <w:r>
        <w:rPr>
          <w:rFonts w:hint="eastAsia" w:ascii="宋体" w:hAnsi="宋体" w:eastAsia="宋体" w:cs="宋体"/>
          <w:u w:val="single"/>
        </w:rPr>
        <w:t xml:space="preserve">     </w:t>
      </w:r>
      <w:r>
        <w:rPr>
          <w:rFonts w:hint="eastAsia" w:ascii="宋体" w:hAnsi="宋体" w:eastAsia="宋体" w:cs="宋体"/>
        </w:rPr>
        <w:t>份，甲方、乙方双方分别执</w:t>
      </w:r>
      <w:r>
        <w:rPr>
          <w:rFonts w:hint="eastAsia" w:ascii="宋体" w:hAnsi="宋体" w:eastAsia="宋体" w:cs="宋体"/>
          <w:u w:val="single"/>
        </w:rPr>
        <w:t xml:space="preserve">    </w:t>
      </w:r>
      <w:r>
        <w:rPr>
          <w:rFonts w:hint="eastAsia" w:ascii="宋体" w:hAnsi="宋体" w:eastAsia="宋体" w:cs="宋体"/>
        </w:rPr>
        <w:t>份，备案</w:t>
      </w:r>
      <w:r>
        <w:rPr>
          <w:rFonts w:hint="eastAsia" w:ascii="宋体" w:hAnsi="宋体" w:eastAsia="宋体" w:cs="宋体"/>
          <w:u w:val="single"/>
        </w:rPr>
        <w:t xml:space="preserve">    </w:t>
      </w:r>
      <w:r>
        <w:rPr>
          <w:rFonts w:hint="eastAsia" w:ascii="宋体" w:hAnsi="宋体" w:eastAsia="宋体" w:cs="宋体"/>
        </w:rPr>
        <w:t>份。</w:t>
      </w:r>
    </w:p>
    <w:p w14:paraId="77C51D41">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3、合同经甲乙双方盖章、签字后生效，合同签订地点为</w:t>
      </w:r>
      <w:r>
        <w:rPr>
          <w:rFonts w:hint="eastAsia" w:ascii="宋体" w:hAnsi="宋体" w:eastAsia="宋体" w:cs="宋体"/>
          <w:u w:val="single"/>
        </w:rPr>
        <w:t xml:space="preserve">   </w:t>
      </w:r>
      <w:r>
        <w:rPr>
          <w:rFonts w:hint="eastAsia" w:ascii="宋体" w:hAnsi="宋体" w:eastAsia="宋体" w:cs="宋体"/>
        </w:rPr>
        <w:t>。</w:t>
      </w:r>
    </w:p>
    <w:p w14:paraId="60002D30">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4、生效时间：</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01D27DE8">
      <w:pPr>
        <w:adjustRightInd w:val="0"/>
        <w:snapToGrid w:val="0"/>
        <w:spacing w:line="360" w:lineRule="auto"/>
        <w:ind w:firstLine="480" w:firstLineChars="200"/>
        <w:rPr>
          <w:rFonts w:hint="eastAsia" w:ascii="宋体" w:hAnsi="宋体" w:eastAsia="宋体" w:cs="宋体"/>
        </w:rPr>
      </w:pPr>
    </w:p>
    <w:tbl>
      <w:tblPr>
        <w:tblStyle w:val="3"/>
        <w:tblW w:w="0" w:type="auto"/>
        <w:jc w:val="center"/>
        <w:tblLayout w:type="fixed"/>
        <w:tblCellMar>
          <w:top w:w="0" w:type="dxa"/>
          <w:left w:w="108" w:type="dxa"/>
          <w:bottom w:w="0" w:type="dxa"/>
          <w:right w:w="108" w:type="dxa"/>
        </w:tblCellMar>
      </w:tblPr>
      <w:tblGrid>
        <w:gridCol w:w="4643"/>
        <w:gridCol w:w="4643"/>
      </w:tblGrid>
      <w:tr w14:paraId="0687BAD6">
        <w:tblPrEx>
          <w:tblCellMar>
            <w:top w:w="0" w:type="dxa"/>
            <w:left w:w="108" w:type="dxa"/>
            <w:bottom w:w="0" w:type="dxa"/>
            <w:right w:w="108" w:type="dxa"/>
          </w:tblCellMar>
        </w:tblPrEx>
        <w:trPr>
          <w:jc w:val="center"/>
        </w:trPr>
        <w:tc>
          <w:tcPr>
            <w:tcW w:w="4643" w:type="dxa"/>
          </w:tcPr>
          <w:p w14:paraId="0334DD3D">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甲方名称（盖章）：</w:t>
            </w:r>
          </w:p>
          <w:p w14:paraId="1E182A3B">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地址：</w:t>
            </w:r>
          </w:p>
          <w:p w14:paraId="2018E555">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代表人（签字）：</w:t>
            </w:r>
          </w:p>
          <w:p w14:paraId="7622C02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电话：</w:t>
            </w:r>
          </w:p>
          <w:p w14:paraId="2E325C94">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开户银行：</w:t>
            </w:r>
          </w:p>
          <w:p w14:paraId="5D166D7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帐号：</w:t>
            </w:r>
          </w:p>
        </w:tc>
        <w:tc>
          <w:tcPr>
            <w:tcW w:w="4643" w:type="dxa"/>
          </w:tcPr>
          <w:p w14:paraId="40721D96">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乙方名称（盖章）:</w:t>
            </w:r>
          </w:p>
          <w:p w14:paraId="74E5D589">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地址：</w:t>
            </w:r>
          </w:p>
          <w:p w14:paraId="303DE500">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代表人（签字）：</w:t>
            </w:r>
          </w:p>
          <w:p w14:paraId="51871122">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电话：</w:t>
            </w:r>
          </w:p>
          <w:p w14:paraId="45A920EA">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开户银行：</w:t>
            </w:r>
          </w:p>
          <w:p w14:paraId="04608981">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帐号：</w:t>
            </w:r>
          </w:p>
        </w:tc>
      </w:tr>
    </w:tbl>
    <w:p w14:paraId="20175439">
      <w:pPr>
        <w:rPr>
          <w:rFonts w:hint="eastAsia" w:ascii="宋体" w:hAnsi="宋体" w:eastAsia="宋体" w:cs="宋体"/>
        </w:rPr>
      </w:pPr>
    </w:p>
    <w:p w14:paraId="3A06D630">
      <w:pPr>
        <w:snapToGrid w:val="0"/>
        <w:spacing w:line="360" w:lineRule="auto"/>
        <w:rPr>
          <w:rFonts w:hint="eastAsia" w:ascii="宋体" w:hAnsi="宋体" w:eastAsia="宋体" w:cs="宋体"/>
        </w:rPr>
      </w:pPr>
    </w:p>
    <w:p w14:paraId="44DDDE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82ACCF"/>
    <w:multiLevelType w:val="singleLevel"/>
    <w:tmpl w:val="B082ACCF"/>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A33092"/>
    <w:rsid w:val="62A33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0"/>
    <w:pPr>
      <w:spacing w:line="360" w:lineRule="auto"/>
      <w:jc w:val="center"/>
      <w:outlineLvl w:val="0"/>
    </w:pPr>
    <w:rPr>
      <w:rFonts w:ascii="方正小标宋_GBK" w:hAnsi="仿宋" w:eastAsia="方正小标宋_GBK"/>
      <w:sz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2025-08-28T02:00:00Z</dcterms:created>
  <dc:creator>金</dc:creator>
  <cp:lastModifiedBy>金</cp:lastModifiedBy>
  <dcterms:modified xsi:type="dcterms:W3CDTF">2025-08-28T02:01:06Z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ED2500E336EE49FC8804D437981E6C65_11</vt:lpwstr>
  </property>
  <property fmtid="{D5CDD505-2E9C-101B-9397-08002B2CF9AE}" pid="4" name="KSOTemplateDocerSaveRecord">
    <vt:lpwstr>eyJoZGlkIjoiZDgxOTI5NDA3YTFhMDY1NzZhMDg3YjYwNTlkYWFiNTMiLCJ1c2VySWQiOiIxNjM3OTQxMzAxIn0=</vt:lpwstr>
  </property>
</Properties>
</file>