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2AAEC1">
      <w:pPr>
        <w:tabs>
          <w:tab w:val="left" w:pos="735"/>
        </w:tabs>
        <w:autoSpaceDE w:val="0"/>
        <w:autoSpaceDN w:val="0"/>
        <w:adjustRightInd w:val="0"/>
        <w:snapToGrid w:val="0"/>
        <w:spacing w:before="312" w:beforeLines="100" w:line="358" w:lineRule="auto"/>
        <w:ind w:left="628" w:leftChars="299"/>
        <w:rPr>
          <w:rFonts w:asciiTheme="minorEastAsia" w:hAnsiTheme="minorEastAsia"/>
          <w:b/>
          <w:bCs/>
          <w:sz w:val="20"/>
          <w:lang w:val="zh-CN"/>
        </w:rPr>
      </w:pPr>
      <w:r>
        <w:rPr>
          <w:rFonts w:hint="eastAsia" w:asciiTheme="minorEastAsia" w:hAnsiTheme="minorEastAsia"/>
          <w:b/>
          <w:bCs/>
          <w:sz w:val="20"/>
          <w:lang w:val="zh-CN"/>
        </w:rPr>
        <w:t>甲方：</w:t>
      </w:r>
      <w:r>
        <w:rPr>
          <w:rFonts w:hint="eastAsia" w:asciiTheme="minorEastAsia" w:hAnsiTheme="minorEastAsia"/>
          <w:bCs/>
          <w:sz w:val="20"/>
          <w:lang w:val="zh-CN"/>
        </w:rPr>
        <w:t>（前款所称采购人）         住所：</w:t>
      </w:r>
    </w:p>
    <w:p w14:paraId="7CCA1153">
      <w:pPr>
        <w:tabs>
          <w:tab w:val="left" w:pos="735"/>
        </w:tabs>
        <w:autoSpaceDE w:val="0"/>
        <w:autoSpaceDN w:val="0"/>
        <w:adjustRightInd w:val="0"/>
        <w:snapToGrid w:val="0"/>
        <w:spacing w:line="358" w:lineRule="auto"/>
        <w:ind w:firstLine="631"/>
        <w:rPr>
          <w:rFonts w:asciiTheme="minorEastAsia" w:hAnsiTheme="minorEastAsia"/>
          <w:bCs/>
          <w:sz w:val="20"/>
          <w:lang w:val="zh-CN"/>
        </w:rPr>
      </w:pPr>
      <w:r>
        <w:rPr>
          <w:rFonts w:hint="eastAsia" w:asciiTheme="minorEastAsia" w:hAnsiTheme="minorEastAsia"/>
          <w:b/>
          <w:bCs/>
          <w:sz w:val="20"/>
          <w:lang w:val="zh-CN"/>
        </w:rPr>
        <w:t>乙方：</w:t>
      </w:r>
      <w:r>
        <w:rPr>
          <w:rFonts w:hint="eastAsia" w:asciiTheme="minorEastAsia" w:hAnsiTheme="minorEastAsia"/>
          <w:bCs/>
          <w:sz w:val="20"/>
          <w:lang w:val="zh-CN"/>
        </w:rPr>
        <w:t>（前款所称成交供应商）     住所：</w:t>
      </w:r>
    </w:p>
    <w:p w14:paraId="2FD2AB3A">
      <w:pPr>
        <w:adjustRightInd w:val="0"/>
        <w:snapToGrid w:val="0"/>
        <w:spacing w:line="358" w:lineRule="auto"/>
        <w:ind w:firstLine="402" w:firstLineChars="200"/>
        <w:rPr>
          <w:rFonts w:asciiTheme="minorEastAsia" w:hAnsiTheme="minorEastAsia"/>
          <w:b/>
          <w:sz w:val="20"/>
        </w:rPr>
      </w:pPr>
      <w:r>
        <w:rPr>
          <w:rFonts w:hint="eastAsia" w:asciiTheme="minorEastAsia" w:hAnsiTheme="minorEastAsia"/>
          <w:b/>
          <w:sz w:val="20"/>
        </w:rPr>
        <w:t>一、合同内容</w:t>
      </w:r>
    </w:p>
    <w:p w14:paraId="0674A626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（标的、数量、质量等）:</w:t>
      </w:r>
    </w:p>
    <w:p w14:paraId="5AA4340B">
      <w:pPr>
        <w:adjustRightInd w:val="0"/>
        <w:snapToGrid w:val="0"/>
        <w:spacing w:line="358" w:lineRule="auto"/>
        <w:ind w:firstLine="402" w:firstLineChars="200"/>
        <w:rPr>
          <w:rFonts w:asciiTheme="minorEastAsia" w:hAnsiTheme="minorEastAsia"/>
          <w:b/>
          <w:sz w:val="20"/>
        </w:rPr>
      </w:pPr>
      <w:r>
        <w:rPr>
          <w:rFonts w:hint="eastAsia" w:asciiTheme="minorEastAsia" w:hAnsiTheme="minorEastAsia"/>
          <w:b/>
          <w:sz w:val="20"/>
        </w:rPr>
        <w:t>二、合同价款</w:t>
      </w:r>
    </w:p>
    <w:p w14:paraId="268AB2E0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 xml:space="preserve">1、合同总价： </w:t>
      </w:r>
    </w:p>
    <w:p w14:paraId="080111F3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 xml:space="preserve">2、合同总价包括：完成项目所需的全部费用。 </w:t>
      </w:r>
    </w:p>
    <w:p w14:paraId="09C19AAB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3、合同总价一次包死，不受市场价变化的影响。</w:t>
      </w:r>
    </w:p>
    <w:p w14:paraId="7A59D57E">
      <w:pPr>
        <w:adjustRightInd w:val="0"/>
        <w:snapToGrid w:val="0"/>
        <w:spacing w:line="358" w:lineRule="auto"/>
        <w:ind w:firstLine="402" w:firstLineChars="200"/>
        <w:rPr>
          <w:rFonts w:asciiTheme="minorEastAsia" w:hAnsiTheme="minorEastAsia"/>
          <w:b/>
          <w:sz w:val="20"/>
        </w:rPr>
      </w:pPr>
      <w:r>
        <w:rPr>
          <w:rFonts w:hint="eastAsia" w:asciiTheme="minorEastAsia" w:hAnsiTheme="minorEastAsia"/>
          <w:b/>
          <w:sz w:val="20"/>
        </w:rPr>
        <w:t>三、合同结算</w:t>
      </w:r>
    </w:p>
    <w:p w14:paraId="2CF7FAFF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1、资金支付条件及时间：待投保车辆续购车辆保险时，采购人收到成交供应商提供的缴费通知单并经审核无误后，根据成交供应商下浮率据实支付续购车辆保险费用。</w:t>
      </w:r>
    </w:p>
    <w:p w14:paraId="14883FB0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2、结算方式：银行转账。</w:t>
      </w:r>
    </w:p>
    <w:p w14:paraId="34597390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3、结算单位：由</w:t>
      </w:r>
      <w:r>
        <w:rPr>
          <w:rFonts w:hint="eastAsia" w:asciiTheme="minorEastAsia" w:hAnsiTheme="minorEastAsia"/>
          <w:sz w:val="20"/>
          <w:u w:val="single"/>
        </w:rPr>
        <w:t>甲方</w:t>
      </w:r>
      <w:r>
        <w:rPr>
          <w:rFonts w:hint="eastAsia" w:asciiTheme="minorEastAsia" w:hAnsiTheme="minorEastAsia"/>
          <w:sz w:val="20"/>
        </w:rPr>
        <w:t>负责结算，乙方开具合同总价数的全额发票交采购人。</w:t>
      </w:r>
    </w:p>
    <w:p w14:paraId="36BF5484">
      <w:pPr>
        <w:adjustRightInd w:val="0"/>
        <w:snapToGrid w:val="0"/>
        <w:spacing w:line="358" w:lineRule="auto"/>
        <w:ind w:firstLine="402" w:firstLineChars="200"/>
        <w:rPr>
          <w:rFonts w:asciiTheme="minorEastAsia" w:hAnsiTheme="minorEastAsia"/>
          <w:b/>
          <w:sz w:val="20"/>
        </w:rPr>
      </w:pPr>
      <w:r>
        <w:rPr>
          <w:rFonts w:hint="eastAsia" w:asciiTheme="minorEastAsia" w:hAnsiTheme="minorEastAsia"/>
          <w:b/>
          <w:sz w:val="20"/>
        </w:rPr>
        <w:t>四、履行期限、地点及方式:</w:t>
      </w:r>
      <w:bookmarkStart w:id="5" w:name="_GoBack"/>
      <w:bookmarkEnd w:id="5"/>
    </w:p>
    <w:p w14:paraId="62DC6999">
      <w:pPr>
        <w:adjustRightInd w:val="0"/>
        <w:snapToGrid w:val="0"/>
        <w:spacing w:line="360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1、履行期限：</w:t>
      </w:r>
      <w:r>
        <w:rPr>
          <w:rFonts w:hint="eastAsia" w:asciiTheme="minorEastAsia" w:hAnsiTheme="minorEastAsia"/>
          <w:sz w:val="20"/>
          <w:lang w:val="en-US" w:eastAsia="zh-CN"/>
        </w:rPr>
        <w:t>合同签订之日起</w:t>
      </w:r>
      <w:r>
        <w:rPr>
          <w:rFonts w:hint="eastAsia" w:asciiTheme="minorEastAsia" w:hAnsiTheme="minorEastAsia"/>
          <w:sz w:val="20"/>
        </w:rPr>
        <w:t>一年</w:t>
      </w:r>
    </w:p>
    <w:p w14:paraId="7FB10C5C">
      <w:pPr>
        <w:adjustRightInd w:val="0"/>
        <w:snapToGrid w:val="0"/>
        <w:spacing w:line="360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2、地点：</w:t>
      </w:r>
      <w:r>
        <w:rPr>
          <w:rFonts w:hint="eastAsia" w:asciiTheme="minorEastAsia" w:hAnsiTheme="minorEastAsia"/>
          <w:bCs/>
          <w:sz w:val="20"/>
          <w:lang w:val="zh-CN"/>
        </w:rPr>
        <w:t>按照采购人要求</w:t>
      </w:r>
    </w:p>
    <w:p w14:paraId="21272768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3、方式：</w:t>
      </w:r>
      <w:r>
        <w:rPr>
          <w:rFonts w:hint="eastAsia" w:asciiTheme="minorEastAsia" w:hAnsiTheme="minorEastAsia"/>
          <w:bCs/>
          <w:sz w:val="20"/>
          <w:lang w:val="zh-CN"/>
        </w:rPr>
        <w:t>按照采购人要求</w:t>
      </w:r>
    </w:p>
    <w:p w14:paraId="1C6B51EB">
      <w:pPr>
        <w:adjustRightInd w:val="0"/>
        <w:snapToGrid w:val="0"/>
        <w:spacing w:line="358" w:lineRule="auto"/>
        <w:ind w:firstLine="402" w:firstLineChars="200"/>
        <w:rPr>
          <w:rFonts w:asciiTheme="minorEastAsia" w:hAnsiTheme="minorEastAsia"/>
          <w:b/>
          <w:sz w:val="20"/>
        </w:rPr>
      </w:pPr>
      <w:r>
        <w:rPr>
          <w:rFonts w:hint="eastAsia" w:asciiTheme="minorEastAsia" w:hAnsiTheme="minorEastAsia"/>
          <w:b/>
          <w:sz w:val="20"/>
        </w:rPr>
        <w:t>五、甲方的权利和义务</w:t>
      </w:r>
    </w:p>
    <w:p w14:paraId="10FF6BE6">
      <w:pPr>
        <w:adjustRightInd w:val="0"/>
        <w:snapToGrid w:val="0"/>
        <w:spacing w:line="360" w:lineRule="auto"/>
        <w:ind w:firstLine="400" w:firstLineChars="200"/>
        <w:rPr>
          <w:rFonts w:asciiTheme="minorEastAsia" w:hAnsiTheme="minorEastAsia"/>
          <w:sz w:val="20"/>
        </w:rPr>
      </w:pPr>
      <w:bookmarkStart w:id="0" w:name="_Toc19515390"/>
      <w:r>
        <w:rPr>
          <w:rFonts w:hint="eastAsia" w:asciiTheme="minorEastAsia" w:hAnsiTheme="minorEastAsia"/>
          <w:sz w:val="20"/>
        </w:rPr>
        <w:t>1、甲方有权对合同规定范围内乙方的服务行为进行监督和检查，拥有监管权。有权定期核对乙方提供服务所配备的人员数量。对甲方认为不合理的部分有权下达整改通知书，并要求乙方限期整改。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482D5F3C">
      <w:pPr>
        <w:adjustRightInd w:val="0"/>
        <w:snapToGrid w:val="0"/>
        <w:spacing w:line="360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2、甲方有权依据双方签订的考评办法对乙方提供的服务进行定期考评。当考评结果未达到标准时，有权依据考评办法约定的数额扣除履约保证金。</w:t>
      </w:r>
    </w:p>
    <w:p w14:paraId="18B008E0">
      <w:pPr>
        <w:adjustRightInd w:val="0"/>
        <w:snapToGrid w:val="0"/>
        <w:spacing w:line="360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3、负责检查监督乙方管理工作的实施及制度的执行情况。</w:t>
      </w:r>
    </w:p>
    <w:p w14:paraId="1190EF2F">
      <w:pPr>
        <w:adjustRightInd w:val="0"/>
        <w:snapToGrid w:val="0"/>
        <w:spacing w:line="360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4、根据本合同规定，按时向乙方支付应付服务费用。</w:t>
      </w:r>
    </w:p>
    <w:p w14:paraId="3039D190">
      <w:pPr>
        <w:adjustRightInd w:val="0"/>
        <w:snapToGrid w:val="0"/>
        <w:spacing w:line="360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5、国家法律、法规所规定由甲方承担的其它责任。</w:t>
      </w:r>
    </w:p>
    <w:p w14:paraId="005C02A3">
      <w:pPr>
        <w:adjustRightInd w:val="0"/>
        <w:snapToGrid w:val="0"/>
        <w:spacing w:line="360" w:lineRule="auto"/>
        <w:ind w:firstLine="402" w:firstLineChars="200"/>
        <w:rPr>
          <w:rFonts w:asciiTheme="minorEastAsia" w:hAnsiTheme="minorEastAsia"/>
          <w:b/>
          <w:sz w:val="20"/>
        </w:rPr>
      </w:pPr>
      <w:r>
        <w:rPr>
          <w:rFonts w:hint="eastAsia" w:asciiTheme="minorEastAsia" w:hAnsiTheme="minorEastAsia"/>
          <w:b/>
          <w:sz w:val="20"/>
        </w:rPr>
        <w:t>六、乙方的权利和义务</w:t>
      </w:r>
    </w:p>
    <w:bookmarkEnd w:id="0"/>
    <w:p w14:paraId="011B6944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bookmarkStart w:id="1" w:name="_Toc19515392"/>
      <w:r>
        <w:rPr>
          <w:rFonts w:hint="eastAsia" w:asciiTheme="minorEastAsia" w:hAnsiTheme="minorEastAsia"/>
          <w:sz w:val="20"/>
        </w:rPr>
        <w:t>1、对本合同规定的委托服务范围内的项目享有管理权及服务义务。</w:t>
      </w:r>
    </w:p>
    <w:p w14:paraId="7D39B8DF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2、根据本合同的规定向甲方收取相关服务费用，并有权在本项目管理范围内管理及合理使用。</w:t>
      </w:r>
    </w:p>
    <w:p w14:paraId="0472C96B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3、及时向甲方通告本项目服务范围内有关服务的重大事项，及时配合处理投诉。</w:t>
      </w:r>
    </w:p>
    <w:p w14:paraId="0788654E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4、接受项目行业管理部门及政府有关部门的指导，接受甲方的监督。</w:t>
      </w:r>
    </w:p>
    <w:p w14:paraId="0772EF5D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5、国家法律、法规所规定由乙方承担的其它责任。</w:t>
      </w:r>
    </w:p>
    <w:p w14:paraId="739649BB">
      <w:pPr>
        <w:adjustRightInd w:val="0"/>
        <w:snapToGrid w:val="0"/>
        <w:spacing w:line="358" w:lineRule="auto"/>
        <w:ind w:firstLine="402" w:firstLineChars="200"/>
        <w:rPr>
          <w:rFonts w:asciiTheme="minorEastAsia" w:hAnsiTheme="minorEastAsia"/>
          <w:b/>
          <w:sz w:val="20"/>
        </w:rPr>
      </w:pPr>
      <w:r>
        <w:rPr>
          <w:rFonts w:hint="eastAsia" w:asciiTheme="minorEastAsia" w:hAnsiTheme="minorEastAsia"/>
          <w:b/>
          <w:sz w:val="20"/>
        </w:rPr>
        <w:t>七、违约责任</w:t>
      </w:r>
      <w:bookmarkEnd w:id="1"/>
    </w:p>
    <w:p w14:paraId="271EAB1A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1、甲乙双方必须遵守本合同并执行合同中的各项规定，保证本合同的正常履行。</w:t>
      </w:r>
    </w:p>
    <w:p w14:paraId="47C0B161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2、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16BD9707">
      <w:pPr>
        <w:adjustRightInd w:val="0"/>
        <w:snapToGrid w:val="0"/>
        <w:spacing w:line="358" w:lineRule="auto"/>
        <w:ind w:firstLine="402" w:firstLineChars="200"/>
        <w:rPr>
          <w:rFonts w:asciiTheme="minorEastAsia" w:hAnsiTheme="minorEastAsia"/>
          <w:b/>
          <w:sz w:val="20"/>
        </w:rPr>
      </w:pPr>
      <w:r>
        <w:rPr>
          <w:rFonts w:hint="eastAsia" w:asciiTheme="minorEastAsia" w:hAnsiTheme="minorEastAsia"/>
          <w:b/>
          <w:sz w:val="20"/>
        </w:rPr>
        <w:t>八、不可抗力事件处理</w:t>
      </w:r>
    </w:p>
    <w:p w14:paraId="41C1779E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bookmarkStart w:id="2" w:name="_Toc19515393"/>
      <w:r>
        <w:rPr>
          <w:rFonts w:hint="eastAsia" w:asciiTheme="minorEastAsia" w:hAnsiTheme="minorEastAsia"/>
          <w:sz w:val="20"/>
        </w:rPr>
        <w:t>1、在合同有效期内，任何一方因不可抗力事件导致不能履行合同，则合同履行期可延长，其延长期与不可抗力影响期相同。</w:t>
      </w:r>
    </w:p>
    <w:p w14:paraId="78440C91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2、不可抗力事件发生后，应立即通知对方，并寄送有关权威机构出具的证明。</w:t>
      </w:r>
    </w:p>
    <w:p w14:paraId="056294B1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3、不可抗力事件延续</w:t>
      </w:r>
      <w:r>
        <w:rPr>
          <w:rFonts w:hint="eastAsia" w:asciiTheme="minorEastAsia" w:hAnsiTheme="minorEastAsia"/>
          <w:sz w:val="20"/>
          <w:u w:val="single"/>
        </w:rPr>
        <w:t xml:space="preserve">    </w:t>
      </w:r>
      <w:r>
        <w:rPr>
          <w:rFonts w:hint="eastAsia" w:asciiTheme="minorEastAsia" w:hAnsiTheme="minorEastAsia"/>
          <w:sz w:val="20"/>
        </w:rPr>
        <w:t>天以上，双方应通过友好协商，确定是否继续履行合同。</w:t>
      </w:r>
    </w:p>
    <w:p w14:paraId="05D59345">
      <w:pPr>
        <w:adjustRightInd w:val="0"/>
        <w:snapToGrid w:val="0"/>
        <w:spacing w:line="358" w:lineRule="auto"/>
        <w:ind w:firstLine="402" w:firstLineChars="200"/>
        <w:rPr>
          <w:rFonts w:asciiTheme="minorEastAsia" w:hAnsiTheme="minorEastAsia"/>
          <w:b/>
          <w:sz w:val="20"/>
        </w:rPr>
      </w:pPr>
      <w:r>
        <w:rPr>
          <w:rFonts w:hint="eastAsia" w:asciiTheme="minorEastAsia" w:hAnsiTheme="minorEastAsia"/>
          <w:b/>
          <w:sz w:val="20"/>
        </w:rPr>
        <w:t>九、合同组成</w:t>
      </w:r>
      <w:bookmarkEnd w:id="2"/>
    </w:p>
    <w:p w14:paraId="61787851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1、成交通知书</w:t>
      </w:r>
    </w:p>
    <w:p w14:paraId="774116D4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2、合同文件</w:t>
      </w:r>
    </w:p>
    <w:p w14:paraId="146AA217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3、国家相关规范及标准</w:t>
      </w:r>
    </w:p>
    <w:p w14:paraId="6ECF286C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4、服务的要求及标准</w:t>
      </w:r>
    </w:p>
    <w:p w14:paraId="4145C2EC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5、竞争性磋商文件</w:t>
      </w:r>
    </w:p>
    <w:p w14:paraId="2F11E70B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6、磋商响应文件</w:t>
      </w:r>
    </w:p>
    <w:p w14:paraId="2CF8A8D2">
      <w:pPr>
        <w:adjustRightInd w:val="0"/>
        <w:snapToGrid w:val="0"/>
        <w:spacing w:line="358" w:lineRule="auto"/>
        <w:ind w:firstLine="402" w:firstLineChars="200"/>
        <w:rPr>
          <w:rFonts w:asciiTheme="minorEastAsia" w:hAnsiTheme="minorEastAsia"/>
          <w:b/>
          <w:sz w:val="20"/>
        </w:rPr>
      </w:pPr>
      <w:bookmarkStart w:id="3" w:name="_Toc19515394"/>
      <w:r>
        <w:rPr>
          <w:rFonts w:hint="eastAsia" w:asciiTheme="minorEastAsia" w:hAnsiTheme="minorEastAsia"/>
          <w:b/>
          <w:sz w:val="20"/>
        </w:rPr>
        <w:t>十、解决争议的方法</w:t>
      </w:r>
      <w:bookmarkEnd w:id="3"/>
    </w:p>
    <w:p w14:paraId="4EBEBEFB">
      <w:pPr>
        <w:widowControl/>
        <w:autoSpaceDE w:val="0"/>
        <w:autoSpaceDN w:val="0"/>
        <w:snapToGrid w:val="0"/>
        <w:spacing w:line="358" w:lineRule="auto"/>
        <w:ind w:right="-110" w:firstLine="400" w:firstLineChars="200"/>
        <w:textAlignment w:val="bottom"/>
        <w:rPr>
          <w:rFonts w:asciiTheme="minorEastAsia" w:hAnsiTheme="minorEastAsia"/>
          <w:kern w:val="0"/>
          <w:sz w:val="20"/>
        </w:rPr>
      </w:pPr>
      <w:r>
        <w:rPr>
          <w:rFonts w:hint="eastAsia" w:asciiTheme="minorEastAsia" w:hAnsiTheme="minorEastAsia"/>
          <w:kern w:val="0"/>
          <w:sz w:val="20"/>
        </w:rPr>
        <w:t>凡因本合同引起的或与本合同有关的争议，双方应友好协商解决。协商不成时，双方均同意采用以下第（  ）种争议解决方式：</w:t>
      </w:r>
    </w:p>
    <w:p w14:paraId="7589A076">
      <w:pPr>
        <w:widowControl/>
        <w:autoSpaceDE w:val="0"/>
        <w:autoSpaceDN w:val="0"/>
        <w:snapToGrid w:val="0"/>
        <w:spacing w:line="358" w:lineRule="auto"/>
        <w:ind w:right="-110" w:firstLine="400" w:firstLineChars="200"/>
        <w:textAlignment w:val="bottom"/>
        <w:rPr>
          <w:rFonts w:asciiTheme="minorEastAsia" w:hAnsiTheme="minorEastAsia"/>
          <w:kern w:val="0"/>
          <w:sz w:val="20"/>
        </w:rPr>
      </w:pPr>
      <w:r>
        <w:rPr>
          <w:rFonts w:hint="eastAsia" w:asciiTheme="minorEastAsia" w:hAnsiTheme="minorEastAsia"/>
          <w:kern w:val="0"/>
          <w:sz w:val="20"/>
        </w:rPr>
        <w:t>（1）甲、乙双方均同意向（甲方所在地人民法院）提起诉讼。</w:t>
      </w:r>
    </w:p>
    <w:p w14:paraId="5663F634">
      <w:pPr>
        <w:widowControl/>
        <w:autoSpaceDE w:val="0"/>
        <w:autoSpaceDN w:val="0"/>
        <w:snapToGrid w:val="0"/>
        <w:spacing w:line="358" w:lineRule="auto"/>
        <w:ind w:right="-110" w:firstLine="400" w:firstLineChars="200"/>
        <w:textAlignment w:val="bottom"/>
        <w:rPr>
          <w:rFonts w:asciiTheme="minorEastAsia" w:hAnsiTheme="minorEastAsia"/>
          <w:kern w:val="0"/>
          <w:sz w:val="20"/>
        </w:rPr>
      </w:pPr>
      <w:r>
        <w:rPr>
          <w:rFonts w:hint="eastAsia" w:asciiTheme="minorEastAsia" w:hAnsiTheme="minorEastAsia"/>
          <w:kern w:val="0"/>
          <w:sz w:val="20"/>
        </w:rPr>
        <w:t>（2）甲、乙双方均同意向（</w:t>
      </w:r>
      <w:r>
        <w:fldChar w:fldCharType="begin"/>
      </w:r>
      <w:r>
        <w:instrText xml:space="preserve"> HYPERLINK "http://www.baidu.com/s?wd=%E4%BB%B2%E8%A3%81%E5%A7%94%E5%91%98%E4%BC%9A&amp;tn=SE_PcZhidaonwhc_ngpagmjz&amp;rsv_dl=gh_pc_zhidao" \t "_blank" </w:instrText>
      </w:r>
      <w:r>
        <w:fldChar w:fldCharType="separate"/>
      </w:r>
      <w:r>
        <w:rPr>
          <w:rFonts w:hint="eastAsia" w:asciiTheme="minorEastAsia" w:hAnsiTheme="minorEastAsia"/>
          <w:kern w:val="0"/>
          <w:sz w:val="20"/>
        </w:rPr>
        <w:t>仲裁委员会</w:t>
      </w:r>
      <w:r>
        <w:rPr>
          <w:rFonts w:hint="eastAsia" w:asciiTheme="minorEastAsia" w:hAnsiTheme="minorEastAsia"/>
          <w:kern w:val="0"/>
          <w:sz w:val="20"/>
        </w:rPr>
        <w:fldChar w:fldCharType="end"/>
      </w:r>
      <w:r>
        <w:rPr>
          <w:rFonts w:hint="eastAsia" w:asciiTheme="minorEastAsia" w:hAnsiTheme="minorEastAsia"/>
          <w:kern w:val="0"/>
          <w:sz w:val="20"/>
        </w:rPr>
        <w:t>）提起仲裁。</w:t>
      </w:r>
    </w:p>
    <w:p w14:paraId="38CD6FEC">
      <w:pPr>
        <w:adjustRightInd w:val="0"/>
        <w:snapToGrid w:val="0"/>
        <w:spacing w:line="358" w:lineRule="auto"/>
        <w:ind w:firstLine="402" w:firstLineChars="200"/>
        <w:rPr>
          <w:rFonts w:asciiTheme="minorEastAsia" w:hAnsiTheme="minorEastAsia"/>
          <w:b/>
          <w:sz w:val="20"/>
        </w:rPr>
      </w:pPr>
      <w:bookmarkStart w:id="4" w:name="_Toc19515395"/>
      <w:r>
        <w:rPr>
          <w:rFonts w:hint="eastAsia" w:asciiTheme="minorEastAsia" w:hAnsiTheme="minorEastAsia"/>
          <w:b/>
          <w:sz w:val="20"/>
        </w:rPr>
        <w:t>十一、合同生效及其它</w:t>
      </w:r>
      <w:bookmarkEnd w:id="4"/>
    </w:p>
    <w:p w14:paraId="76EA74BD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b/>
          <w:sz w:val="20"/>
        </w:rPr>
      </w:pPr>
      <w:r>
        <w:rPr>
          <w:rFonts w:hint="eastAsia" w:asciiTheme="minorEastAsia" w:hAnsiTheme="minorEastAsia"/>
          <w:kern w:val="0"/>
          <w:sz w:val="20"/>
        </w:rPr>
        <w:t>1、合同未尽事宜、由甲、乙双方协商，作为合同补充，与原合同具有同等法律效力。</w:t>
      </w:r>
    </w:p>
    <w:p w14:paraId="7B2311A2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b/>
          <w:sz w:val="20"/>
        </w:rPr>
      </w:pPr>
      <w:r>
        <w:rPr>
          <w:rFonts w:hint="eastAsia" w:asciiTheme="minorEastAsia" w:hAnsiTheme="minorEastAsia"/>
          <w:kern w:val="0"/>
          <w:sz w:val="20"/>
        </w:rPr>
        <w:t>2、 本合同一式</w:t>
      </w:r>
      <w:r>
        <w:rPr>
          <w:rFonts w:hint="eastAsia" w:asciiTheme="minorEastAsia" w:hAnsiTheme="minorEastAsia"/>
          <w:kern w:val="0"/>
          <w:sz w:val="20"/>
          <w:u w:val="single"/>
        </w:rPr>
        <w:t xml:space="preserve">  </w:t>
      </w:r>
      <w:r>
        <w:rPr>
          <w:rFonts w:hint="eastAsia" w:asciiTheme="minorEastAsia" w:hAnsiTheme="minorEastAsia"/>
          <w:kern w:val="0"/>
          <w:sz w:val="20"/>
        </w:rPr>
        <w:t>份，甲方、乙方双方分别执</w:t>
      </w:r>
      <w:r>
        <w:rPr>
          <w:rFonts w:hint="eastAsia" w:asciiTheme="minorEastAsia" w:hAnsiTheme="minorEastAsia"/>
          <w:kern w:val="0"/>
          <w:sz w:val="20"/>
          <w:u w:val="single"/>
        </w:rPr>
        <w:t xml:space="preserve">  </w:t>
      </w:r>
      <w:r>
        <w:rPr>
          <w:rFonts w:hint="eastAsia" w:asciiTheme="minorEastAsia" w:hAnsiTheme="minorEastAsia"/>
          <w:kern w:val="0"/>
          <w:sz w:val="20"/>
        </w:rPr>
        <w:t>份，</w:t>
      </w:r>
      <w:r>
        <w:rPr>
          <w:rFonts w:hint="eastAsia" w:asciiTheme="minorEastAsia" w:hAnsiTheme="minorEastAsia"/>
          <w:kern w:val="0"/>
          <w:sz w:val="20"/>
          <w:u w:val="single"/>
        </w:rPr>
        <w:t xml:space="preserve">   </w:t>
      </w:r>
      <w:r>
        <w:rPr>
          <w:rFonts w:hint="eastAsia" w:asciiTheme="minorEastAsia" w:hAnsiTheme="minorEastAsia"/>
          <w:kern w:val="0"/>
          <w:sz w:val="20"/>
        </w:rPr>
        <w:t>备案</w:t>
      </w:r>
      <w:r>
        <w:rPr>
          <w:rFonts w:hint="eastAsia" w:asciiTheme="minorEastAsia" w:hAnsiTheme="minorEastAsia"/>
          <w:kern w:val="0"/>
          <w:sz w:val="20"/>
          <w:u w:val="single"/>
        </w:rPr>
        <w:t xml:space="preserve">  </w:t>
      </w:r>
      <w:r>
        <w:rPr>
          <w:rFonts w:hint="eastAsia" w:asciiTheme="minorEastAsia" w:hAnsiTheme="minorEastAsia"/>
          <w:kern w:val="0"/>
          <w:sz w:val="20"/>
        </w:rPr>
        <w:t>份。</w:t>
      </w:r>
    </w:p>
    <w:p w14:paraId="0F708968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b/>
          <w:sz w:val="20"/>
        </w:rPr>
      </w:pPr>
      <w:r>
        <w:rPr>
          <w:rFonts w:hint="eastAsia" w:asciiTheme="minorEastAsia" w:hAnsiTheme="minorEastAsia"/>
          <w:kern w:val="0"/>
          <w:sz w:val="20"/>
        </w:rPr>
        <w:t>3、合同经甲乙双方盖章、签字后生效，合同签订地点为</w:t>
      </w:r>
      <w:r>
        <w:rPr>
          <w:rFonts w:hint="eastAsia" w:asciiTheme="minorEastAsia" w:hAnsiTheme="minorEastAsia"/>
          <w:kern w:val="0"/>
          <w:sz w:val="20"/>
          <w:u w:val="single"/>
        </w:rPr>
        <w:t xml:space="preserve">   </w:t>
      </w:r>
      <w:r>
        <w:rPr>
          <w:rFonts w:hint="eastAsia" w:asciiTheme="minorEastAsia" w:hAnsiTheme="minorEastAsia"/>
          <w:kern w:val="0"/>
          <w:sz w:val="20"/>
        </w:rPr>
        <w:t>。</w:t>
      </w:r>
    </w:p>
    <w:p w14:paraId="0322035D">
      <w:pPr>
        <w:adjustRightInd w:val="0"/>
        <w:snapToGrid w:val="0"/>
        <w:spacing w:line="358" w:lineRule="auto"/>
        <w:ind w:firstLine="400" w:firstLineChars="200"/>
        <w:rPr>
          <w:rFonts w:asciiTheme="minorEastAsia" w:hAnsiTheme="minorEastAsia"/>
          <w:kern w:val="0"/>
          <w:sz w:val="20"/>
        </w:rPr>
      </w:pPr>
      <w:r>
        <w:rPr>
          <w:rFonts w:hint="eastAsia" w:asciiTheme="minorEastAsia" w:hAnsiTheme="minorEastAsia"/>
          <w:kern w:val="0"/>
          <w:sz w:val="20"/>
        </w:rPr>
        <w:t>4、生效时间：</w:t>
      </w:r>
      <w:r>
        <w:rPr>
          <w:rFonts w:hint="eastAsia" w:asciiTheme="minorEastAsia" w:hAnsiTheme="minorEastAsia"/>
          <w:kern w:val="0"/>
          <w:sz w:val="20"/>
          <w:u w:val="single"/>
        </w:rPr>
        <w:t xml:space="preserve">   </w:t>
      </w:r>
      <w:r>
        <w:rPr>
          <w:rFonts w:hint="eastAsia" w:asciiTheme="minorEastAsia" w:hAnsiTheme="minorEastAsia"/>
          <w:kern w:val="0"/>
          <w:sz w:val="20"/>
        </w:rPr>
        <w:t xml:space="preserve">年 </w:t>
      </w:r>
      <w:r>
        <w:rPr>
          <w:rFonts w:hint="eastAsia" w:asciiTheme="minorEastAsia" w:hAnsiTheme="minorEastAsia"/>
          <w:kern w:val="0"/>
          <w:sz w:val="20"/>
          <w:u w:val="single"/>
        </w:rPr>
        <w:t xml:space="preserve">   </w:t>
      </w:r>
      <w:r>
        <w:rPr>
          <w:rFonts w:hint="eastAsia" w:asciiTheme="minorEastAsia" w:hAnsiTheme="minorEastAsia"/>
          <w:kern w:val="0"/>
          <w:sz w:val="20"/>
        </w:rPr>
        <w:t>月</w:t>
      </w:r>
      <w:r>
        <w:rPr>
          <w:rFonts w:hint="eastAsia" w:asciiTheme="minorEastAsia" w:hAnsiTheme="minorEastAsia"/>
          <w:kern w:val="0"/>
          <w:sz w:val="20"/>
          <w:u w:val="single"/>
        </w:rPr>
        <w:t xml:space="preserve">   </w:t>
      </w:r>
      <w:r>
        <w:rPr>
          <w:rFonts w:hint="eastAsia" w:asciiTheme="minorEastAsia" w:hAnsiTheme="minorEastAsia"/>
          <w:kern w:val="0"/>
          <w:sz w:val="20"/>
        </w:rPr>
        <w:t>日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3267B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7992B4F0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Theme="minorEastAsia" w:hAnsi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/>
                <w:kern w:val="0"/>
                <w:sz w:val="20"/>
              </w:rPr>
              <w:t>甲方名称</w:t>
            </w:r>
            <w:r>
              <w:rPr>
                <w:rFonts w:hint="eastAsia" w:asciiTheme="minorEastAsia" w:hAnsiTheme="minorEastAsia"/>
                <w:spacing w:val="-20"/>
                <w:kern w:val="0"/>
                <w:sz w:val="20"/>
              </w:rPr>
              <w:t>（盖章）</w:t>
            </w:r>
            <w:r>
              <w:rPr>
                <w:rFonts w:hint="eastAsia" w:asciiTheme="minorEastAsia" w:hAnsiTheme="minorEastAsia"/>
                <w:kern w:val="0"/>
                <w:sz w:val="20"/>
              </w:rPr>
              <w:t>：</w:t>
            </w:r>
          </w:p>
          <w:p w14:paraId="7FE7B3D3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Theme="minorEastAsia" w:hAnsi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/>
                <w:kern w:val="0"/>
                <w:sz w:val="20"/>
              </w:rPr>
              <w:t>地址：</w:t>
            </w:r>
          </w:p>
          <w:p w14:paraId="069C2C61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Theme="minorEastAsia" w:hAnsi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/>
                <w:kern w:val="0"/>
                <w:sz w:val="20"/>
              </w:rPr>
              <w:t>代表人（签字）：</w:t>
            </w:r>
          </w:p>
          <w:p w14:paraId="0AE3EA87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Theme="minorEastAsia" w:hAnsi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/>
                <w:kern w:val="0"/>
                <w:sz w:val="20"/>
              </w:rPr>
              <w:t>电话：</w:t>
            </w:r>
          </w:p>
          <w:p w14:paraId="7FAAFEC2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Theme="minorEastAsia" w:hAnsi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/>
                <w:kern w:val="0"/>
                <w:sz w:val="20"/>
              </w:rPr>
              <w:t>开户银行：</w:t>
            </w:r>
          </w:p>
          <w:p w14:paraId="0252D736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Theme="minorEastAsia" w:hAnsi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/>
                <w:kern w:val="0"/>
                <w:sz w:val="20"/>
              </w:rPr>
              <w:t>帐号：</w:t>
            </w:r>
          </w:p>
        </w:tc>
        <w:tc>
          <w:tcPr>
            <w:tcW w:w="4643" w:type="dxa"/>
          </w:tcPr>
          <w:p w14:paraId="3A1C5883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Theme="minorEastAsia" w:hAnsi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/>
                <w:kern w:val="0"/>
                <w:sz w:val="20"/>
              </w:rPr>
              <w:t>乙方名称</w:t>
            </w:r>
            <w:r>
              <w:rPr>
                <w:rFonts w:hint="eastAsia" w:asciiTheme="minorEastAsia" w:hAnsiTheme="minorEastAsia"/>
                <w:spacing w:val="-20"/>
                <w:kern w:val="0"/>
                <w:sz w:val="20"/>
              </w:rPr>
              <w:t>（盖章）</w:t>
            </w:r>
            <w:r>
              <w:rPr>
                <w:rFonts w:hint="eastAsia" w:asciiTheme="minorEastAsia" w:hAnsiTheme="minorEastAsia"/>
                <w:kern w:val="0"/>
                <w:sz w:val="20"/>
              </w:rPr>
              <w:t>:</w:t>
            </w:r>
          </w:p>
          <w:p w14:paraId="36EBE68D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Theme="minorEastAsia" w:hAnsi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/>
                <w:kern w:val="0"/>
                <w:sz w:val="20"/>
              </w:rPr>
              <w:t>地址：</w:t>
            </w:r>
          </w:p>
          <w:p w14:paraId="32A197A3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Theme="minorEastAsia" w:hAnsi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/>
                <w:kern w:val="0"/>
                <w:sz w:val="20"/>
              </w:rPr>
              <w:t>代表人（签字）：</w:t>
            </w:r>
          </w:p>
          <w:p w14:paraId="61F9D2D2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Theme="minorEastAsia" w:hAnsi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/>
                <w:kern w:val="0"/>
                <w:sz w:val="20"/>
              </w:rPr>
              <w:t>电话：</w:t>
            </w:r>
          </w:p>
          <w:p w14:paraId="21420A5D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Theme="minorEastAsia" w:hAnsi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/>
                <w:kern w:val="0"/>
                <w:sz w:val="20"/>
              </w:rPr>
              <w:t>开户银行：</w:t>
            </w:r>
          </w:p>
          <w:p w14:paraId="7166F1B0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Theme="minorEastAsia" w:hAnsi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/>
                <w:kern w:val="0"/>
                <w:sz w:val="20"/>
              </w:rPr>
              <w:t>帐号：</w:t>
            </w:r>
          </w:p>
        </w:tc>
      </w:tr>
    </w:tbl>
    <w:p w14:paraId="6CF85D0D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BCB403"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9525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05AC7E">
                          <w:pPr>
                            <w:pStyle w:val="6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lxGWcABAACN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ZyDUgvDkmLFz6yagT1FwMp1QYzRuV1+DxvWQ9/EXb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6pebnPAAAABQEAAA8AAAAAAAAAAQAgAAAAIgAAAGRycy9kb3ducmV2LnhtbFBLAQIUABQA&#10;AAAIAIdO4kBaXEZZwAEAAI0DAAAOAAAAAAAAAAEAIAAAAB4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D05AC7E">
                    <w:pPr>
                      <w:pStyle w:val="6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AC16FF3">
    <w:pPr>
      <w:pStyle w:val="6"/>
      <w:ind w:right="360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4EC873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46A"/>
    <w:rsid w:val="00096B43"/>
    <w:rsid w:val="00132B39"/>
    <w:rsid w:val="0046446A"/>
    <w:rsid w:val="00475A93"/>
    <w:rsid w:val="004F5EBD"/>
    <w:rsid w:val="005107A5"/>
    <w:rsid w:val="005A3DF4"/>
    <w:rsid w:val="0081489C"/>
    <w:rsid w:val="00A413EA"/>
    <w:rsid w:val="00A8673A"/>
    <w:rsid w:val="00C17C28"/>
    <w:rsid w:val="00CB131B"/>
    <w:rsid w:val="00D11360"/>
    <w:rsid w:val="00FD5B07"/>
    <w:rsid w:val="2461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3"/>
    <w:link w:val="12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3"/>
    <w:qFormat/>
    <w:uiPriority w:val="0"/>
    <w:pPr>
      <w:ind w:firstLine="420"/>
    </w:pPr>
  </w:style>
  <w:style w:type="paragraph" w:styleId="4">
    <w:name w:val="Body Text"/>
    <w:basedOn w:val="1"/>
    <w:link w:val="14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标题 2 Char"/>
    <w:basedOn w:val="9"/>
    <w:link w:val="2"/>
    <w:qFormat/>
    <w:uiPriority w:val="0"/>
    <w:rPr>
      <w:rFonts w:ascii="黑体" w:hAnsi="Copperplate Gothic Bold" w:eastAsia="楷体_GB2312" w:cs="Times New Roman"/>
      <w:sz w:val="28"/>
      <w:szCs w:val="20"/>
    </w:rPr>
  </w:style>
  <w:style w:type="character" w:customStyle="1" w:styleId="13">
    <w:name w:val="正文缩进 Char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4">
    <w:name w:val="正文文本 Char"/>
    <w:basedOn w:val="9"/>
    <w:link w:val="4"/>
    <w:qFormat/>
    <w:uiPriority w:val="0"/>
    <w:rPr>
      <w:rFonts w:ascii="Copperplate Gothic Bold" w:hAnsi="Copperplate Gothic Bold" w:eastAsia="宋体" w:cs="Times New Roman"/>
      <w:sz w:val="28"/>
      <w:szCs w:val="20"/>
    </w:rPr>
  </w:style>
  <w:style w:type="character" w:customStyle="1" w:styleId="15">
    <w:name w:val="批注框文本 Char"/>
    <w:basedOn w:val="9"/>
    <w:link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null3"/>
    <w:hidden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1307</Words>
  <Characters>1307</Characters>
  <Lines>11</Lines>
  <Paragraphs>3</Paragraphs>
  <TotalTime>5</TotalTime>
  <ScaleCrop>false</ScaleCrop>
  <LinksUpToDate>false</LinksUpToDate>
  <CharactersWithSpaces>1352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2024-05-20T01:45:00Z</dcterms:created>
  <dc:creator>Lenovo</dc:creator>
  <cp:lastModifiedBy>29680</cp:lastModifiedBy>
  <dcterms:modified xsi:type="dcterms:W3CDTF">2025-08-28T10:21:44Z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eyJoZGlkIjoiNzljYTM4MzRlZGZiOTg3OGIzYjVlZWM4YTBlZTcxODUiLCJ1c2VySWQiOiIxNjM3OTQxMzAxIn0=</vt:lpwstr>
  </property>
  <property fmtid="{D5CDD505-2E9C-101B-9397-08002B2CF9AE}" pid="3" name="KSOProductBuildVer">
    <vt:lpwstr>2052-12.1.0.21915</vt:lpwstr>
  </property>
  <property fmtid="{D5CDD505-2E9C-101B-9397-08002B2CF9AE}" pid="4" name="ICV">
    <vt:lpwstr>99C9CE6F9CAD4B76BF32FBDECB0F7E1A_13</vt:lpwstr>
  </property>
</Properties>
</file>